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彩虹小标宋" w:eastAsia="彩虹小标宋"/>
          <w:sz w:val="36"/>
          <w:szCs w:val="36"/>
        </w:rPr>
      </w:pPr>
      <w:r>
        <w:rPr>
          <w:rFonts w:hint="eastAsia" w:ascii="彩虹小标宋" w:eastAsia="彩虹小标宋"/>
          <w:sz w:val="36"/>
          <w:szCs w:val="36"/>
        </w:rPr>
        <w:t>建设银行</w:t>
      </w:r>
      <w:r>
        <w:rPr>
          <w:rFonts w:hint="eastAsia" w:ascii="彩虹小标宋" w:eastAsia="彩虹小标宋"/>
          <w:sz w:val="36"/>
          <w:szCs w:val="36"/>
          <w:lang w:eastAsia="zh-CN"/>
        </w:rPr>
        <w:t>无锡分行</w:t>
      </w:r>
      <w:r>
        <w:rPr>
          <w:rFonts w:hint="eastAsia" w:ascii="彩虹小标宋" w:eastAsia="彩虹小标宋"/>
          <w:sz w:val="36"/>
          <w:szCs w:val="36"/>
        </w:rPr>
        <w:t>“e政通”业务</w:t>
      </w:r>
    </w:p>
    <w:p>
      <w:pPr>
        <w:rPr>
          <w:rFonts w:ascii="彩虹粗仿宋" w:eastAsia="彩虹粗仿宋"/>
          <w:sz w:val="32"/>
          <w:szCs w:val="32"/>
        </w:rPr>
      </w:pP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一、简介</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网络供应链“e政通”业务是指建设银行运用互联网、大数据、人工智能等思维，通过系统对接，整合多方资源，以政府采购供应商的历史采购中标交易信息、履约记录、综合风控数据（工商、司法、征信等）等大数据分析后自动评级准入并确定业务额度，为中小企业供应商提供的全流程在线网络金融服务。</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二、适用对象</w:t>
      </w:r>
    </w:p>
    <w:p>
      <w:pPr>
        <w:spacing w:line="560" w:lineRule="exact"/>
        <w:ind w:firstLine="643" w:firstLineChars="200"/>
        <w:rPr>
          <w:rFonts w:hint="eastAsia" w:ascii="宋体" w:hAnsi="宋体" w:eastAsia="宋体" w:cs="宋体"/>
          <w:sz w:val="28"/>
          <w:szCs w:val="28"/>
        </w:rPr>
      </w:pPr>
      <w:r>
        <w:rPr>
          <w:rFonts w:hint="eastAsia" w:ascii="宋体" w:hAnsi="宋体" w:eastAsia="宋体" w:cs="宋体"/>
          <w:b/>
          <w:sz w:val="28"/>
          <w:szCs w:val="28"/>
        </w:rPr>
        <w:t>申请人</w:t>
      </w:r>
      <w:r>
        <w:rPr>
          <w:rFonts w:hint="eastAsia" w:ascii="宋体" w:hAnsi="宋体" w:eastAsia="宋体" w:cs="宋体"/>
          <w:sz w:val="28"/>
          <w:szCs w:val="28"/>
        </w:rPr>
        <w:t>即借款人是中标政府采购合同的企业法人或个体工商户，符合以下要求：</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1、企业及企业主信用记录良好，未纳入政府采购违约企业名单，有历史政府采购履约合同记录，合法经营；</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2、在建行开户；</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3、建行要求的其他条件；</w:t>
      </w:r>
    </w:p>
    <w:p>
      <w:pPr>
        <w:spacing w:line="560" w:lineRule="exact"/>
        <w:ind w:firstLine="643" w:firstLineChars="200"/>
        <w:rPr>
          <w:rFonts w:hint="eastAsia" w:ascii="宋体" w:hAnsi="宋体" w:eastAsia="宋体" w:cs="宋体"/>
          <w:sz w:val="28"/>
          <w:szCs w:val="28"/>
        </w:rPr>
      </w:pPr>
      <w:r>
        <w:rPr>
          <w:rFonts w:hint="eastAsia" w:ascii="宋体" w:hAnsi="宋体" w:eastAsia="宋体" w:cs="宋体"/>
          <w:b/>
          <w:sz w:val="28"/>
          <w:szCs w:val="28"/>
        </w:rPr>
        <w:t>采购人</w:t>
      </w:r>
      <w:r>
        <w:rPr>
          <w:rFonts w:hint="eastAsia" w:ascii="宋体" w:hAnsi="宋体" w:eastAsia="宋体" w:cs="宋体"/>
          <w:sz w:val="28"/>
          <w:szCs w:val="28"/>
        </w:rPr>
        <w:t>指依法进行政府采购的国家机关、事业单位、团体组织。</w:t>
      </w:r>
    </w:p>
    <w:p>
      <w:pPr>
        <w:spacing w:line="560" w:lineRule="exact"/>
        <w:ind w:firstLine="643" w:firstLineChars="200"/>
        <w:rPr>
          <w:rFonts w:hint="eastAsia" w:ascii="宋体" w:hAnsi="宋体" w:eastAsia="宋体" w:cs="宋体"/>
          <w:sz w:val="28"/>
          <w:szCs w:val="28"/>
        </w:rPr>
      </w:pPr>
      <w:r>
        <w:rPr>
          <w:rFonts w:hint="eastAsia" w:ascii="宋体" w:hAnsi="宋体" w:eastAsia="宋体" w:cs="宋体"/>
          <w:b/>
          <w:sz w:val="28"/>
          <w:szCs w:val="28"/>
        </w:rPr>
        <w:t>采购合同</w:t>
      </w:r>
      <w:r>
        <w:rPr>
          <w:rFonts w:hint="eastAsia" w:ascii="宋体" w:hAnsi="宋体" w:eastAsia="宋体" w:cs="宋体"/>
          <w:sz w:val="28"/>
          <w:szCs w:val="28"/>
        </w:rPr>
        <w:t>：</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1、符合《中华人民共和国政府采购法》、《中华人民共和国政府采购法实施条例》等规定；</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2、在政府采购平台备案公示，纳入无锡市区（县）级及以上财政预算；</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3、合同收款账号为建行指定账号。</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三、业务特色</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1、全流程线上办理：</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申请人通过建设银行供应链管理平台（www.ccbscf.com）进行在线报名、业务申请、网上合同签订和贷款支用，系统自动进行评级、额度和业务审批并自动放款。</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2、全信用方式：</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申请人依据在政府采购的历史履约信誉及备案公示采购合同即可在建设银行申请贷款，企业主及其配偶（如有）签署个人连带责任保证合同和应收账款进行质押外，无需其他抵质押担保措施。</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3、融资成本低：</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融资利率不超过最近一个月全国银行间同业拆借中心公布的一年期贷款市场报价利率 (LPR) 加 100个基点。</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4、融资期限灵活：</w:t>
      </w:r>
    </w:p>
    <w:p>
      <w:pPr>
        <w:spacing w:line="560" w:lineRule="exact"/>
        <w:ind w:firstLine="640" w:firstLineChars="200"/>
        <w:rPr>
          <w:rFonts w:hint="eastAsia" w:ascii="宋体" w:hAnsi="宋体" w:eastAsia="宋体" w:cs="宋体"/>
          <w:sz w:val="28"/>
          <w:szCs w:val="28"/>
        </w:rPr>
      </w:pPr>
      <w:r>
        <w:rPr>
          <w:rFonts w:hint="eastAsia" w:ascii="宋体" w:hAnsi="宋体" w:eastAsia="宋体" w:cs="宋体"/>
          <w:sz w:val="28"/>
          <w:szCs w:val="28"/>
        </w:rPr>
        <w:t>根据采购合同约定合理确定，最长不超过1年。</w:t>
      </w:r>
    </w:p>
    <w:p>
      <w:pPr>
        <w:spacing w:line="560" w:lineRule="exact"/>
        <w:ind w:firstLine="640" w:firstLineChars="200"/>
        <w:rPr>
          <w:rFonts w:hint="eastAsia" w:ascii="宋体" w:hAnsi="宋体" w:eastAsia="宋体" w:cs="宋体"/>
          <w:sz w:val="28"/>
          <w:szCs w:val="28"/>
        </w:rPr>
      </w:pPr>
      <w:bookmarkStart w:id="0" w:name="_GoBack"/>
      <w:bookmarkEnd w:id="0"/>
      <w:r>
        <w:rPr>
          <w:rFonts w:hint="eastAsia" w:ascii="宋体" w:hAnsi="宋体" w:eastAsia="宋体" w:cs="宋体"/>
          <w:sz w:val="28"/>
          <w:szCs w:val="28"/>
        </w:rPr>
        <w:t>四、业务流程(具体联系建行营业机构)</w:t>
      </w:r>
    </w:p>
    <w:p>
      <w:pPr>
        <w:spacing w:line="560" w:lineRule="exact"/>
        <w:ind w:firstLine="640" w:firstLineChars="200"/>
        <w:rPr>
          <w:rFonts w:ascii="彩虹粗仿宋" w:eastAsia="彩虹粗仿宋"/>
          <w:sz w:val="32"/>
          <w:szCs w:val="32"/>
        </w:rPr>
      </w:pPr>
      <w:r>
        <w:rPr>
          <w:rFonts w:hint="eastAsia" w:ascii="彩虹粗仿宋" w:hAnsi="Calibri" w:eastAsia="彩虹粗仿宋" w:cs="Times New Roman"/>
          <w:kern w:val="2"/>
          <w:sz w:val="32"/>
          <w:szCs w:val="32"/>
          <w:lang w:val="en-US" w:eastAsia="zh-CN" w:bidi="ar-SA"/>
        </w:rPr>
        <w:pict>
          <v:shape id="图片 1" o:spid="_x0000_s1026" type="#_x0000_t75" style="position:absolute;left:0;margin-left:1.05pt;margin-top:9.5pt;height:180pt;width:415.25pt;rotation:0f;z-index:25165824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彩虹小标宋">
    <w:altName w:val="宋体"/>
    <w:panose1 w:val="03000509000000000000"/>
    <w:charset w:val="86"/>
    <w:family w:val="auto"/>
    <w:pitch w:val="default"/>
    <w:sig w:usb0="00000001" w:usb1="080E0000" w:usb2="00000010" w:usb3="00000000" w:csb0="00040000" w:csb1="00000000"/>
  </w:font>
  <w:font w:name="彩虹粗仿宋">
    <w:altName w:val="仿宋"/>
    <w:panose1 w:val="03000509000000000000"/>
    <w:charset w:val="86"/>
    <w:family w:val="auto"/>
    <w:pitch w:val="default"/>
    <w:sig w:usb0="00000001" w:usb1="080E0000" w:usb2="00000010" w:usb3="00000000" w:csb0="00040000" w:csb1="00000000"/>
  </w:font>
  <w:font w:name="彩虹黑体">
    <w:altName w:val="黑体"/>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hint="eastAsia"/>
      </w:rPr>
      <w:t>中国建设银行产品说明书（客户版）202004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843CA"/>
    <w:rsid w:val="00045F08"/>
    <w:rsid w:val="000740E5"/>
    <w:rsid w:val="00087372"/>
    <w:rsid w:val="000D5ECB"/>
    <w:rsid w:val="000E6B8A"/>
    <w:rsid w:val="00125A2C"/>
    <w:rsid w:val="00130D2C"/>
    <w:rsid w:val="001357BC"/>
    <w:rsid w:val="0015573E"/>
    <w:rsid w:val="001A7FBE"/>
    <w:rsid w:val="001B5BA9"/>
    <w:rsid w:val="001C00E3"/>
    <w:rsid w:val="001C294D"/>
    <w:rsid w:val="001C550A"/>
    <w:rsid w:val="00211EF0"/>
    <w:rsid w:val="00246A99"/>
    <w:rsid w:val="00277098"/>
    <w:rsid w:val="002A0B74"/>
    <w:rsid w:val="003356C4"/>
    <w:rsid w:val="003843CA"/>
    <w:rsid w:val="003E76C7"/>
    <w:rsid w:val="003F197E"/>
    <w:rsid w:val="004050F8"/>
    <w:rsid w:val="00492EDD"/>
    <w:rsid w:val="004C5D7C"/>
    <w:rsid w:val="004C76C9"/>
    <w:rsid w:val="00507596"/>
    <w:rsid w:val="005123C8"/>
    <w:rsid w:val="00522EA3"/>
    <w:rsid w:val="00565B86"/>
    <w:rsid w:val="00583178"/>
    <w:rsid w:val="005A2A4D"/>
    <w:rsid w:val="005D1E01"/>
    <w:rsid w:val="006317E5"/>
    <w:rsid w:val="00651F65"/>
    <w:rsid w:val="00656A5E"/>
    <w:rsid w:val="00681A8B"/>
    <w:rsid w:val="00686E6F"/>
    <w:rsid w:val="00763E1B"/>
    <w:rsid w:val="00763ECF"/>
    <w:rsid w:val="0078169F"/>
    <w:rsid w:val="008014BB"/>
    <w:rsid w:val="00810A64"/>
    <w:rsid w:val="0082451A"/>
    <w:rsid w:val="00894042"/>
    <w:rsid w:val="008D4585"/>
    <w:rsid w:val="008F7299"/>
    <w:rsid w:val="009508BB"/>
    <w:rsid w:val="00951483"/>
    <w:rsid w:val="00A42D3B"/>
    <w:rsid w:val="00AF2B2C"/>
    <w:rsid w:val="00AF70CD"/>
    <w:rsid w:val="00B37FF6"/>
    <w:rsid w:val="00B763AA"/>
    <w:rsid w:val="00B77016"/>
    <w:rsid w:val="00B85EF3"/>
    <w:rsid w:val="00BA4423"/>
    <w:rsid w:val="00C02A90"/>
    <w:rsid w:val="00C22314"/>
    <w:rsid w:val="00C743E1"/>
    <w:rsid w:val="00C765A1"/>
    <w:rsid w:val="00C87707"/>
    <w:rsid w:val="00CB3059"/>
    <w:rsid w:val="00CF2288"/>
    <w:rsid w:val="00D203AB"/>
    <w:rsid w:val="00D46A08"/>
    <w:rsid w:val="00D77328"/>
    <w:rsid w:val="00D86C8E"/>
    <w:rsid w:val="00DC3F3C"/>
    <w:rsid w:val="00DF5455"/>
    <w:rsid w:val="00E24ABB"/>
    <w:rsid w:val="00E37839"/>
    <w:rsid w:val="00E709D4"/>
    <w:rsid w:val="00EB427B"/>
    <w:rsid w:val="00F12ACC"/>
    <w:rsid w:val="00F34050"/>
    <w:rsid w:val="00F52081"/>
    <w:rsid w:val="00F52230"/>
    <w:rsid w:val="00F76F2E"/>
    <w:rsid w:val="00FA4F98"/>
    <w:rsid w:val="00FC1140"/>
    <w:rsid w:val="00FF532E"/>
    <w:rsid w:val="0C4422AB"/>
    <w:rsid w:val="5F542A7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paragraph" w:customStyle="1" w:styleId="9">
    <w:name w:val="列出段落1"/>
    <w:basedOn w:val="1"/>
    <w:qFormat/>
    <w:uiPriority w:val="34"/>
    <w:pPr>
      <w:ind w:firstLine="420" w:firstLineChars="200"/>
    </w:pPr>
    <w:rPr>
      <w:rFonts w:ascii="Calibri" w:hAnsi="Calibri" w:eastAsia="宋体" w:cs="Times New Roman"/>
    </w:rPr>
  </w:style>
  <w:style w:type="character" w:customStyle="1" w:styleId="10">
    <w:name w:val="页脚 Char"/>
    <w:basedOn w:val="6"/>
    <w:link w:val="3"/>
    <w:uiPriority w:val="99"/>
    <w:rPr>
      <w:sz w:val="18"/>
      <w:szCs w:val="18"/>
    </w:rPr>
  </w:style>
  <w:style w:type="character" w:customStyle="1" w:styleId="11">
    <w:name w:val="页眉 Char"/>
    <w:basedOn w:val="6"/>
    <w:link w:val="4"/>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602</Characters>
  <Lines>5</Lines>
  <Paragraphs>1</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2020-04-28T01:53:00Z</dcterms:created>
  <dc:creator>赵海啸</dc:creator>
  <cp:lastModifiedBy>3</cp:lastModifiedBy>
  <cp:lastPrinted>2016-09-26T09:05:00Z</cp:lastPrinted>
  <dcterms:modified xsi:type="dcterms:W3CDTF">2021-01-15T00:51:03Z</dcterms:modified>
  <dc:title>建设银行无锡分行“e政通”业务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