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36"/>
          <w:szCs w:val="36"/>
          <w:u w:val="none" w:color="auto"/>
          <w:lang w:val="en-US" w:eastAsia="zh-CN"/>
        </w:rPr>
      </w:pPr>
      <w:r>
        <w:rPr>
          <w:rFonts w:hint="eastAsia" w:ascii="黑体" w:hAnsi="黑体" w:eastAsia="黑体" w:cs="黑体"/>
          <w:sz w:val="36"/>
          <w:szCs w:val="36"/>
          <w:u w:val="none" w:color="auto"/>
          <w:lang w:val="en-US" w:eastAsia="zh-CN"/>
        </w:rPr>
        <w:t>宁波银行无锡分行政府线上政采贷产品简介</w:t>
      </w:r>
    </w:p>
    <w:p>
      <w:pPr>
        <w:ind w:left="0" w:leftChars="0" w:firstLine="490" w:firstLineChars="175"/>
        <w:jc w:val="center"/>
        <w:rPr>
          <w:rFonts w:hint="eastAsia" w:ascii="黑体" w:hAnsi="黑体" w:eastAsia="黑体" w:cs="黑体"/>
          <w:sz w:val="36"/>
          <w:szCs w:val="36"/>
          <w:u w:val="none" w:color="auto"/>
          <w:lang w:val="en-US" w:eastAsia="zh-CN"/>
        </w:rPr>
      </w:pPr>
    </w:p>
    <w:p>
      <w:pPr>
        <w:ind w:left="0" w:leftChars="0" w:firstLine="490" w:firstLineChars="175"/>
        <w:jc w:val="left"/>
        <w:rPr>
          <w:rFonts w:hint="eastAsia" w:ascii="宋体" w:hAnsi="宋体" w:eastAsia="宋体" w:cs="宋体"/>
          <w:sz w:val="28"/>
          <w:szCs w:val="28"/>
          <w:u w:val="none" w:color="auto"/>
          <w:lang w:val="en-US" w:eastAsia="zh-CN"/>
        </w:rPr>
      </w:pPr>
      <w:bookmarkStart w:id="0" w:name="_GoBack"/>
      <w:r>
        <w:rPr>
          <w:rFonts w:hint="eastAsia" w:ascii="宋体" w:hAnsi="宋体" w:eastAsia="宋体" w:cs="宋体"/>
          <w:sz w:val="28"/>
          <w:szCs w:val="28"/>
          <w:u w:val="none" w:color="auto"/>
          <w:lang w:val="en-US" w:eastAsia="zh-CN"/>
        </w:rPr>
        <w:t>宁波银行政府线上政采贷是宁波银行基于无锡市政采贷平台，支持广大中小型政府供应商融资的特色产品，采购范围包括商品类、服务类和小型工程类三项。</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申请办理政府采购融资业务的供应商除应满足流动资金贷款一般准入要求外，还须满足以下条件：</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⑴本地供应商，持续经营两年（含）以上或实际经营者本行业从业年限不低于两年；</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⑵与本地政府合作一年（含）以上，无不良履约记录，且提供至少一次与政府相关部门之间的履约及收款记录，未纳入政府采购黑名单；</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⑶企业经营良好，具备合同履约能力，以往没有发生因交易违约或被他人拖欠货款而涉及诉讼或贸易纠纷问题；</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⑷企业已获得政府采购中标通知书。</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线上政采贷融资金额单笔不超过采购合同的70%，原则上单户政府采购融资业务敞口最高不超过2000万元。融资期限一般按备货期加付款期进行合理测算，最长不超过1年。利率最高不超过同期LPR+100BP。</w:t>
      </w:r>
    </w:p>
    <w:p>
      <w:pPr>
        <w:ind w:left="0" w:leftChars="0" w:firstLine="490" w:firstLineChars="175"/>
        <w:jc w:val="left"/>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符合准入要求、资料齐全的企业，我行原则上会为您在7个工作日内完成审批，解您燃眉之急。</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D8B13F3"/>
    <w:rsid w:val="1ECD40A9"/>
    <w:rsid w:val="7D8B13F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unhideWhenUsed/>
    <w:uiPriority w:val="99"/>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2021-01-15T00:29:00Z</dcterms:created>
  <dc:creator>Administrator</dc:creator>
  <cp:lastModifiedBy>3</cp:lastModifiedBy>
  <dcterms:modified xsi:type="dcterms:W3CDTF">2021-01-15T03:15:41Z</dcterms:modified>
  <dc:title>宁波银行无锡分行政府线上政采贷产品简介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