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附件4</w:t>
      </w:r>
    </w:p>
    <w:tbl>
      <w:tblPr>
        <w:tblStyle w:val="2"/>
        <w:tblW w:w="13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9"/>
        <w:gridCol w:w="1785"/>
        <w:gridCol w:w="2462"/>
        <w:gridCol w:w="2273"/>
        <w:gridCol w:w="2165"/>
        <w:gridCol w:w="1691"/>
        <w:gridCol w:w="18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988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无锡市市级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行政机关、事业单位、社会团体公务用车定点维修情况统计表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季度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市场金额（元）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实际金额（元）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上报日期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上报人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XXX维修公司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第X季度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XXX（保留两位小数）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XXX（保留两位小数）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X年X月X日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122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此表各单位必须于季度结束后5个工作日内上报，上报数据必须认真核对，不得有误，数据报送将作为本期定点采购供应商考核的重要内容，逾期上报的名单将上报无锡市机关事务管理局。其它按招标文件要求执行。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7632B"/>
    <w:rsid w:val="095075E2"/>
    <w:rsid w:val="359763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2019-01-24T01:59:00Z</dcterms:created>
  <dc:creator>820994095</dc:creator>
  <cp:lastModifiedBy>朱彦霖</cp:lastModifiedBy>
  <dcterms:modified xsi:type="dcterms:W3CDTF">2021-01-12T01:53:45Z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