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firstLine="0" w:firstLineChars="0"/>
        <w:jc w:val="center"/>
        <w:rPr>
          <w:rFonts w:ascii="Times New Roman" w:hAnsi="Times New Roman"/>
          <w:szCs w:val="32"/>
        </w:rPr>
      </w:pPr>
    </w:p>
    <w:p>
      <w:pPr>
        <w:pStyle w:val="19"/>
        <w:adjustRightInd w:val="0"/>
        <w:spacing w:line="560" w:lineRule="exact"/>
        <w:rPr>
          <w:rFonts w:ascii="Times New Roman" w:hAnsi="Times New Roman"/>
        </w:rPr>
      </w:pPr>
      <w:r>
        <w:rPr>
          <w:rFonts w:ascii="Times New Roman" w:hAnsi="Times New Roman"/>
        </w:rPr>
        <w:t>关于无锡市2017年预算执行情况</w:t>
      </w:r>
      <w:bookmarkStart w:id="1" w:name="_GoBack"/>
      <w:bookmarkEnd w:id="1"/>
    </w:p>
    <w:p>
      <w:pPr>
        <w:pStyle w:val="19"/>
        <w:adjustRightInd w:val="0"/>
        <w:spacing w:line="560" w:lineRule="exact"/>
        <w:rPr>
          <w:rFonts w:ascii="Times New Roman" w:hAnsi="Times New Roman"/>
        </w:rPr>
      </w:pPr>
      <w:r>
        <w:rPr>
          <w:rFonts w:ascii="Times New Roman" w:hAnsi="Times New Roman"/>
        </w:rPr>
        <w:t>和2018年市本级预算草案的报告</w:t>
      </w:r>
    </w:p>
    <w:p>
      <w:pPr>
        <w:pStyle w:val="20"/>
        <w:adjustRightInd w:val="0"/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楷体"/>
        </w:rPr>
        <w:t>——</w:t>
      </w:r>
      <w:r>
        <w:rPr>
          <w:rFonts w:ascii="Times New Roman" w:hAnsi="Times New Roman"/>
        </w:rPr>
        <w:t>2018年1月7日在无锡市第十六届</w:t>
      </w:r>
    </w:p>
    <w:p>
      <w:pPr>
        <w:pStyle w:val="20"/>
        <w:adjustRightInd w:val="0"/>
        <w:spacing w:line="560" w:lineRule="exact"/>
        <w:rPr>
          <w:rFonts w:ascii="Times New Roman" w:hAnsi="Times New Roman"/>
        </w:rPr>
      </w:pPr>
      <w:r>
        <w:rPr>
          <w:rFonts w:ascii="Times New Roman" w:hAnsi="Times New Roman"/>
        </w:rPr>
        <w:t>人民代表大会第二次会议上</w:t>
      </w:r>
    </w:p>
    <w:p>
      <w:pPr>
        <w:pStyle w:val="20"/>
        <w:adjustRightInd w:val="0"/>
        <w:spacing w:line="560" w:lineRule="exact"/>
        <w:rPr>
          <w:rFonts w:ascii="Times New Roman" w:hAnsi="Times New Roman"/>
        </w:rPr>
      </w:pPr>
      <w:r>
        <w:rPr>
          <w:rFonts w:ascii="Times New Roman" w:hAnsi="Times New Roman"/>
        </w:rPr>
        <w:t>市财政局局长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高圣华</w:t>
      </w:r>
    </w:p>
    <w:p>
      <w:pPr>
        <w:adjustRightInd w:val="0"/>
        <w:spacing w:line="560" w:lineRule="exact"/>
        <w:ind w:firstLine="198" w:firstLineChars="62"/>
        <w:jc w:val="center"/>
        <w:rPr>
          <w:rFonts w:ascii="Times New Roman" w:hAnsi="Times New Roman"/>
          <w:szCs w:val="32"/>
        </w:rPr>
      </w:pPr>
    </w:p>
    <w:p>
      <w:pPr>
        <w:adjustRightInd w:val="0"/>
        <w:spacing w:line="560" w:lineRule="exact"/>
        <w:ind w:firstLine="0" w:firstLineChars="0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各位代表：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受市人民政府的委托，我向大会报告无锡市2017年预算执行情况和2018年市本级预算草案，请予审议，并请市政协各位委员和其他列席人员提出意见。</w:t>
      </w:r>
    </w:p>
    <w:p>
      <w:pPr>
        <w:adjustRightInd w:val="0"/>
        <w:spacing w:line="56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一、2017年预算执行情况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2017年，在市委、市政府的正确领导下，</w:t>
      </w:r>
      <w:r>
        <w:rPr>
          <w:rFonts w:hint="eastAsia" w:ascii="Times New Roman" w:hAnsi="Times New Roman"/>
          <w:szCs w:val="32"/>
        </w:rPr>
        <w:t>在市人大、市政协的监督支持下，</w:t>
      </w:r>
      <w:r>
        <w:rPr>
          <w:rFonts w:ascii="Times New Roman" w:hAnsi="Times New Roman"/>
          <w:szCs w:val="32"/>
        </w:rPr>
        <w:t>全市各级财政部门</w:t>
      </w:r>
      <w:r>
        <w:rPr>
          <w:rFonts w:hint="eastAsia" w:ascii="Times New Roman" w:hAnsi="Times New Roman"/>
          <w:szCs w:val="32"/>
        </w:rPr>
        <w:t>全面落实省、市第十三次党代会和市委十三届二次、四次全会决策部署，</w:t>
      </w:r>
      <w:r>
        <w:rPr>
          <w:rFonts w:ascii="Times New Roman" w:hAnsi="Times New Roman"/>
          <w:szCs w:val="32"/>
        </w:rPr>
        <w:t>按照市十六届人大一次会议的有关决议精神，</w:t>
      </w:r>
      <w:r>
        <w:rPr>
          <w:rFonts w:hint="eastAsia" w:ascii="Times New Roman" w:hAnsi="Times New Roman"/>
          <w:szCs w:val="32"/>
        </w:rPr>
        <w:t>牢牢把握稳中求进工作总基调，坚定不移</w:t>
      </w:r>
      <w:r>
        <w:rPr>
          <w:rFonts w:ascii="Times New Roman" w:hAnsi="Times New Roman"/>
          <w:szCs w:val="32"/>
        </w:rPr>
        <w:t>贯彻新发展理念，</w:t>
      </w:r>
      <w:r>
        <w:rPr>
          <w:rFonts w:hint="eastAsia" w:ascii="Times New Roman" w:hAnsi="Times New Roman"/>
          <w:szCs w:val="32"/>
        </w:rPr>
        <w:t>深入开展“两聚一高”新实践</w:t>
      </w:r>
      <w:r>
        <w:rPr>
          <w:rFonts w:ascii="Times New Roman" w:hAnsi="Times New Roman"/>
          <w:szCs w:val="32"/>
        </w:rPr>
        <w:t>，加快落实稳增长、促改革、调结构、惠民生、优生态、防风险各项工作，努力促进全市经济社会持续、健康、稳定发展。2017年全市财政运行总体</w:t>
      </w:r>
      <w:r>
        <w:rPr>
          <w:rFonts w:hint="eastAsia" w:ascii="Times New Roman" w:hAnsi="Times New Roman"/>
          <w:szCs w:val="32"/>
        </w:rPr>
        <w:t>平稳</w:t>
      </w:r>
      <w:r>
        <w:rPr>
          <w:rFonts w:ascii="Times New Roman" w:hAnsi="Times New Roman"/>
          <w:szCs w:val="32"/>
        </w:rPr>
        <w:t>，财政收入组织扎实有效，重点领域支出保障有力，财税体制改革稳步推进，较好完成了市</w:t>
      </w:r>
      <w:r>
        <w:rPr>
          <w:rFonts w:hint="eastAsia" w:ascii="Times New Roman" w:hAnsi="Times New Roman"/>
          <w:szCs w:val="32"/>
        </w:rPr>
        <w:t>十六届人大第一次会议</w:t>
      </w:r>
      <w:r>
        <w:rPr>
          <w:rFonts w:ascii="Times New Roman" w:hAnsi="Times New Roman"/>
          <w:szCs w:val="32"/>
        </w:rPr>
        <w:t>确定的预算工作目标。</w:t>
      </w:r>
    </w:p>
    <w:p>
      <w:pPr>
        <w:tabs>
          <w:tab w:val="left" w:pos="540"/>
          <w:tab w:val="left" w:pos="2600"/>
        </w:tabs>
        <w:adjustRightInd w:val="0"/>
        <w:spacing w:line="560" w:lineRule="exact"/>
        <w:ind w:firstLine="640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（一）一般公共预算执行情况</w:t>
      </w:r>
    </w:p>
    <w:p>
      <w:pPr>
        <w:tabs>
          <w:tab w:val="left" w:pos="540"/>
          <w:tab w:val="left" w:pos="2600"/>
        </w:tabs>
        <w:adjustRightInd w:val="0"/>
        <w:spacing w:line="560" w:lineRule="exact"/>
        <w:ind w:firstLine="643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1、全市一般公共预算执行情况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2017年全市一般公共预算收入</w:t>
      </w:r>
      <w:r>
        <w:rPr>
          <w:rFonts w:hint="eastAsia" w:ascii="Times New Roman" w:hAnsi="Times New Roman"/>
          <w:szCs w:val="32"/>
        </w:rPr>
        <w:t>完成</w:t>
      </w:r>
      <w:r>
        <w:rPr>
          <w:rFonts w:ascii="Times New Roman" w:hAnsi="Times New Roman"/>
          <w:szCs w:val="32"/>
        </w:rPr>
        <w:t>930亿元，增长6.3%</w:t>
      </w:r>
      <w:r>
        <w:rPr>
          <w:rFonts w:hint="eastAsia" w:ascii="Times New Roman" w:hAnsi="Times New Roman"/>
          <w:szCs w:val="32"/>
        </w:rPr>
        <w:t>，</w:t>
      </w:r>
      <w:r>
        <w:rPr>
          <w:rFonts w:ascii="Times New Roman" w:hAnsi="Times New Roman"/>
          <w:szCs w:val="32"/>
        </w:rPr>
        <w:t>完成年度预算的101.2%。其中：税收收入</w:t>
      </w:r>
      <w:r>
        <w:rPr>
          <w:rFonts w:hint="eastAsia" w:ascii="Times New Roman" w:hAnsi="Times New Roman"/>
          <w:szCs w:val="32"/>
        </w:rPr>
        <w:t>752.4</w:t>
      </w:r>
      <w:r>
        <w:rPr>
          <w:rFonts w:ascii="Times New Roman" w:hAnsi="Times New Roman"/>
          <w:szCs w:val="32"/>
        </w:rPr>
        <w:t>亿元，增长</w:t>
      </w:r>
      <w:r>
        <w:rPr>
          <w:rFonts w:hint="eastAsia" w:ascii="Times New Roman" w:hAnsi="Times New Roman"/>
          <w:szCs w:val="32"/>
        </w:rPr>
        <w:t>6.6</w:t>
      </w:r>
      <w:r>
        <w:rPr>
          <w:rFonts w:ascii="Times New Roman" w:hAnsi="Times New Roman"/>
          <w:szCs w:val="32"/>
        </w:rPr>
        <w:t>%，占一般公共预算收入的比重为8</w:t>
      </w:r>
      <w:r>
        <w:rPr>
          <w:rFonts w:hint="eastAsia" w:ascii="Times New Roman" w:hAnsi="Times New Roman"/>
          <w:szCs w:val="32"/>
        </w:rPr>
        <w:t>0.9</w:t>
      </w:r>
      <w:r>
        <w:rPr>
          <w:rFonts w:ascii="Times New Roman" w:hAnsi="Times New Roman"/>
          <w:szCs w:val="32"/>
        </w:rPr>
        <w:t>%。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2017年全市一般公共预算支出完成</w:t>
      </w:r>
      <w:r>
        <w:rPr>
          <w:rFonts w:hint="eastAsia" w:ascii="Times New Roman" w:hAnsi="Times New Roman"/>
          <w:szCs w:val="32"/>
        </w:rPr>
        <w:t>989.3</w:t>
      </w:r>
      <w:r>
        <w:rPr>
          <w:rFonts w:ascii="Times New Roman" w:hAnsi="Times New Roman"/>
          <w:szCs w:val="32"/>
        </w:rPr>
        <w:t>亿元，完成年度</w:t>
      </w:r>
      <w:r>
        <w:rPr>
          <w:rFonts w:hint="eastAsia" w:ascii="Times New Roman" w:hAnsi="Times New Roman"/>
          <w:szCs w:val="32"/>
        </w:rPr>
        <w:t>调整</w:t>
      </w:r>
      <w:r>
        <w:rPr>
          <w:rFonts w:ascii="Times New Roman" w:hAnsi="Times New Roman"/>
          <w:szCs w:val="32"/>
        </w:rPr>
        <w:t>预算的99</w:t>
      </w:r>
      <w:r>
        <w:rPr>
          <w:rFonts w:hint="eastAsia" w:ascii="Times New Roman" w:hAnsi="Times New Roman"/>
          <w:szCs w:val="32"/>
        </w:rPr>
        <w:t>.7</w:t>
      </w:r>
      <w:r>
        <w:rPr>
          <w:rFonts w:ascii="Times New Roman" w:hAnsi="Times New Roman"/>
          <w:szCs w:val="32"/>
        </w:rPr>
        <w:t>%，增长</w:t>
      </w:r>
      <w:r>
        <w:rPr>
          <w:rFonts w:hint="eastAsia" w:ascii="Times New Roman" w:hAnsi="Times New Roman"/>
          <w:szCs w:val="32"/>
        </w:rPr>
        <w:t>14.1</w:t>
      </w:r>
      <w:r>
        <w:rPr>
          <w:rFonts w:ascii="Times New Roman" w:hAnsi="Times New Roman"/>
          <w:szCs w:val="32"/>
        </w:rPr>
        <w:t>%。当年预算支出通过省市结算财力和调入资金</w:t>
      </w:r>
      <w:r>
        <w:rPr>
          <w:rFonts w:hint="eastAsia" w:ascii="Times New Roman" w:hAnsi="Times New Roman"/>
          <w:szCs w:val="32"/>
        </w:rPr>
        <w:t>等</w:t>
      </w:r>
      <w:r>
        <w:rPr>
          <w:rFonts w:ascii="Times New Roman" w:hAnsi="Times New Roman"/>
          <w:szCs w:val="32"/>
        </w:rPr>
        <w:t>统筹保障。</w:t>
      </w:r>
    </w:p>
    <w:p>
      <w:pPr>
        <w:tabs>
          <w:tab w:val="left" w:pos="540"/>
          <w:tab w:val="left" w:pos="2600"/>
        </w:tabs>
        <w:adjustRightInd w:val="0"/>
        <w:spacing w:line="560" w:lineRule="exact"/>
        <w:ind w:firstLine="643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2、市本级一般公共预算执行情况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2017年市本级一般公共预算收入</w:t>
      </w:r>
      <w:r>
        <w:rPr>
          <w:rFonts w:hint="eastAsia" w:ascii="Times New Roman" w:hAnsi="Times New Roman"/>
          <w:szCs w:val="32"/>
        </w:rPr>
        <w:t>完成101.8</w:t>
      </w:r>
      <w:r>
        <w:rPr>
          <w:rFonts w:ascii="Times New Roman" w:hAnsi="Times New Roman"/>
          <w:szCs w:val="32"/>
        </w:rPr>
        <w:t>亿元，加上中央和省税收返还及转移支付收入、县区上解收入、上年结转收入、一般债券资金收入、预算稳定调节基金收入和调入资金收入等29</w:t>
      </w:r>
      <w:r>
        <w:rPr>
          <w:rFonts w:hint="eastAsia" w:ascii="Times New Roman" w:hAnsi="Times New Roman"/>
          <w:szCs w:val="32"/>
        </w:rPr>
        <w:t>2.3</w:t>
      </w:r>
      <w:r>
        <w:rPr>
          <w:rFonts w:ascii="Times New Roman" w:hAnsi="Times New Roman"/>
          <w:szCs w:val="32"/>
        </w:rPr>
        <w:t>亿元，收入共计</w:t>
      </w:r>
      <w:r>
        <w:rPr>
          <w:rFonts w:hint="eastAsia" w:ascii="Times New Roman" w:hAnsi="Times New Roman"/>
          <w:szCs w:val="32"/>
        </w:rPr>
        <w:t>394.1</w:t>
      </w:r>
      <w:r>
        <w:rPr>
          <w:rFonts w:ascii="Times New Roman" w:hAnsi="Times New Roman"/>
          <w:szCs w:val="32"/>
        </w:rPr>
        <w:t>亿元</w:t>
      </w:r>
      <w:r>
        <w:rPr>
          <w:rFonts w:hint="eastAsia" w:ascii="Times New Roman" w:hAnsi="Times New Roman"/>
          <w:szCs w:val="32"/>
        </w:rPr>
        <w:t>，完成年度调整预算的102.2%。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2017年市本级一般公共预算支出</w:t>
      </w:r>
      <w:r>
        <w:rPr>
          <w:rFonts w:hint="eastAsia" w:ascii="Times New Roman" w:hAnsi="Times New Roman"/>
          <w:szCs w:val="32"/>
        </w:rPr>
        <w:t>完成237</w:t>
      </w:r>
      <w:r>
        <w:rPr>
          <w:rFonts w:ascii="Times New Roman" w:hAnsi="Times New Roman"/>
          <w:szCs w:val="32"/>
        </w:rPr>
        <w:t>亿元，加上上解中央和省支出、对县区转移支付支出、一般债券资金支出、补充</w:t>
      </w:r>
      <w:r>
        <w:rPr>
          <w:rFonts w:hint="eastAsia" w:ascii="Times New Roman" w:hAnsi="Times New Roman"/>
          <w:szCs w:val="32"/>
        </w:rPr>
        <w:t>预算周转金和</w:t>
      </w:r>
      <w:r>
        <w:rPr>
          <w:rFonts w:ascii="Times New Roman" w:hAnsi="Times New Roman"/>
          <w:szCs w:val="32"/>
        </w:rPr>
        <w:t>预算稳定调节基金支出等</w:t>
      </w:r>
      <w:r>
        <w:rPr>
          <w:rFonts w:hint="eastAsia" w:ascii="Times New Roman" w:hAnsi="Times New Roman"/>
          <w:szCs w:val="32"/>
        </w:rPr>
        <w:t>142.1</w:t>
      </w:r>
      <w:r>
        <w:rPr>
          <w:rFonts w:ascii="Times New Roman" w:hAnsi="Times New Roman"/>
          <w:szCs w:val="32"/>
        </w:rPr>
        <w:t>亿元，支出共计</w:t>
      </w:r>
      <w:r>
        <w:rPr>
          <w:rFonts w:hint="eastAsia" w:ascii="Times New Roman" w:hAnsi="Times New Roman"/>
          <w:szCs w:val="32"/>
        </w:rPr>
        <w:t>379.1</w:t>
      </w:r>
      <w:r>
        <w:rPr>
          <w:rFonts w:ascii="Times New Roman" w:hAnsi="Times New Roman"/>
          <w:szCs w:val="32"/>
        </w:rPr>
        <w:t>亿元</w:t>
      </w:r>
      <w:r>
        <w:rPr>
          <w:rFonts w:hint="eastAsia" w:ascii="Times New Roman" w:hAnsi="Times New Roman"/>
          <w:szCs w:val="32"/>
        </w:rPr>
        <w:t>，完成年度调整预算的98.3%。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上述总的收支相抵，年终结转下年支出</w:t>
      </w:r>
      <w:r>
        <w:rPr>
          <w:rFonts w:hint="eastAsia" w:ascii="Times New Roman" w:hAnsi="Times New Roman"/>
          <w:szCs w:val="32"/>
        </w:rPr>
        <w:t>15</w:t>
      </w:r>
      <w:r>
        <w:rPr>
          <w:rFonts w:ascii="Times New Roman" w:hAnsi="Times New Roman"/>
          <w:szCs w:val="32"/>
        </w:rPr>
        <w:t>亿元，主要是部分上级下达的专项转移支付和已经实施政府采购的项目，需要按照项目进度和合同约定拨付资金，当年未使用完毕按规定结转下年使用。</w:t>
      </w:r>
    </w:p>
    <w:p>
      <w:pPr>
        <w:tabs>
          <w:tab w:val="left" w:pos="540"/>
          <w:tab w:val="left" w:pos="2600"/>
        </w:tabs>
        <w:adjustRightInd w:val="0"/>
        <w:spacing w:line="560" w:lineRule="exact"/>
        <w:ind w:firstLine="640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（二）政府性基金预算执行情况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2017年市本级政府性基金预算收入</w:t>
      </w:r>
      <w:r>
        <w:rPr>
          <w:rFonts w:hint="eastAsia" w:ascii="Times New Roman" w:hAnsi="Times New Roman"/>
          <w:szCs w:val="32"/>
        </w:rPr>
        <w:t>完成</w:t>
      </w:r>
      <w:r>
        <w:rPr>
          <w:rFonts w:ascii="Times New Roman" w:hAnsi="Times New Roman"/>
          <w:szCs w:val="32"/>
        </w:rPr>
        <w:t>1</w:t>
      </w:r>
      <w:r>
        <w:rPr>
          <w:rFonts w:hint="eastAsia" w:ascii="Times New Roman" w:hAnsi="Times New Roman"/>
          <w:szCs w:val="32"/>
        </w:rPr>
        <w:t>64.8</w:t>
      </w:r>
      <w:r>
        <w:rPr>
          <w:rFonts w:ascii="Times New Roman" w:hAnsi="Times New Roman"/>
          <w:szCs w:val="32"/>
        </w:rPr>
        <w:t>亿元，加上中央、省转移支付收入、下级上解收入、专项债券收入、上年</w:t>
      </w:r>
      <w:r>
        <w:rPr>
          <w:rFonts w:hint="eastAsia" w:ascii="Times New Roman" w:hAnsi="Times New Roman"/>
          <w:szCs w:val="32"/>
        </w:rPr>
        <w:t>结转</w:t>
      </w:r>
      <w:r>
        <w:rPr>
          <w:rFonts w:ascii="Times New Roman" w:hAnsi="Times New Roman"/>
          <w:szCs w:val="32"/>
        </w:rPr>
        <w:t>收入等</w:t>
      </w:r>
      <w:r>
        <w:rPr>
          <w:rFonts w:hint="eastAsia" w:ascii="Times New Roman" w:hAnsi="Times New Roman"/>
          <w:szCs w:val="32"/>
        </w:rPr>
        <w:t>43.4</w:t>
      </w:r>
      <w:r>
        <w:rPr>
          <w:rFonts w:ascii="Times New Roman" w:hAnsi="Times New Roman"/>
          <w:szCs w:val="32"/>
        </w:rPr>
        <w:t>亿元，收入共计</w:t>
      </w:r>
      <w:r>
        <w:rPr>
          <w:rFonts w:hint="eastAsia" w:ascii="Times New Roman" w:hAnsi="Times New Roman"/>
          <w:szCs w:val="32"/>
        </w:rPr>
        <w:t>208.2</w:t>
      </w:r>
      <w:r>
        <w:rPr>
          <w:rFonts w:ascii="Times New Roman" w:hAnsi="Times New Roman"/>
          <w:szCs w:val="32"/>
        </w:rPr>
        <w:t>亿元</w:t>
      </w:r>
      <w:r>
        <w:rPr>
          <w:rFonts w:hint="eastAsia" w:ascii="Times New Roman" w:hAnsi="Times New Roman"/>
          <w:szCs w:val="32"/>
        </w:rPr>
        <w:t>，完成年度调整预算的102.8%。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2017年市本级政府性基金预算支出</w:t>
      </w:r>
      <w:r>
        <w:rPr>
          <w:rFonts w:hint="eastAsia" w:ascii="Times New Roman" w:hAnsi="Times New Roman"/>
          <w:szCs w:val="32"/>
        </w:rPr>
        <w:t>完成177.1</w:t>
      </w:r>
      <w:r>
        <w:rPr>
          <w:rFonts w:ascii="Times New Roman" w:hAnsi="Times New Roman"/>
          <w:szCs w:val="32"/>
        </w:rPr>
        <w:t>亿元，加上专项债券支出、调出资金支出等</w:t>
      </w:r>
      <w:r>
        <w:rPr>
          <w:rFonts w:hint="eastAsia" w:ascii="Times New Roman" w:hAnsi="Times New Roman"/>
          <w:szCs w:val="32"/>
        </w:rPr>
        <w:t>4.2</w:t>
      </w:r>
      <w:r>
        <w:rPr>
          <w:rFonts w:ascii="Times New Roman" w:hAnsi="Times New Roman"/>
          <w:szCs w:val="32"/>
        </w:rPr>
        <w:t>亿元，支出合计</w:t>
      </w:r>
      <w:r>
        <w:rPr>
          <w:rFonts w:hint="eastAsia" w:ascii="Times New Roman" w:hAnsi="Times New Roman"/>
          <w:szCs w:val="32"/>
        </w:rPr>
        <w:t>181.3</w:t>
      </w:r>
      <w:r>
        <w:rPr>
          <w:rFonts w:ascii="Times New Roman" w:hAnsi="Times New Roman"/>
          <w:szCs w:val="32"/>
        </w:rPr>
        <w:t>亿元</w:t>
      </w:r>
      <w:r>
        <w:rPr>
          <w:rFonts w:hint="eastAsia" w:ascii="Times New Roman" w:hAnsi="Times New Roman"/>
          <w:szCs w:val="32"/>
        </w:rPr>
        <w:t>，完成年度调整预算的98.5%。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上述总的收支相抵，年终结转下年支出</w:t>
      </w:r>
      <w:r>
        <w:rPr>
          <w:rFonts w:hint="eastAsia" w:ascii="Times New Roman" w:hAnsi="Times New Roman"/>
          <w:szCs w:val="32"/>
        </w:rPr>
        <w:t>26.9</w:t>
      </w:r>
      <w:r>
        <w:rPr>
          <w:rFonts w:ascii="Times New Roman" w:hAnsi="Times New Roman"/>
          <w:szCs w:val="32"/>
        </w:rPr>
        <w:t>亿元，主要是部分上级下达的专项转移支付、以及土地开发和市</w:t>
      </w:r>
      <w:r>
        <w:rPr>
          <w:rFonts w:hint="eastAsia" w:ascii="Times New Roman" w:hAnsi="Times New Roman"/>
          <w:szCs w:val="32"/>
        </w:rPr>
        <w:t>本</w:t>
      </w:r>
      <w:r>
        <w:rPr>
          <w:rFonts w:ascii="Times New Roman" w:hAnsi="Times New Roman"/>
          <w:szCs w:val="32"/>
        </w:rPr>
        <w:t>级重大基础设施建设项目，需要按照项目进度和合同约定拨付资金，当年未使用完毕按规定结转下年使用。</w:t>
      </w:r>
    </w:p>
    <w:p>
      <w:pPr>
        <w:tabs>
          <w:tab w:val="left" w:pos="540"/>
          <w:tab w:val="left" w:pos="2600"/>
        </w:tabs>
        <w:adjustRightInd w:val="0"/>
        <w:spacing w:line="560" w:lineRule="exact"/>
        <w:ind w:firstLine="640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（三）国有资本经营预算执行情况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2017年市本级国有资本经营预算收入</w:t>
      </w:r>
      <w:r>
        <w:rPr>
          <w:rFonts w:hint="eastAsia" w:ascii="Times New Roman" w:hAnsi="Times New Roman"/>
          <w:szCs w:val="32"/>
        </w:rPr>
        <w:t>完成</w:t>
      </w:r>
      <w:r>
        <w:rPr>
          <w:rFonts w:ascii="Times New Roman" w:hAnsi="Times New Roman"/>
          <w:szCs w:val="32"/>
        </w:rPr>
        <w:t>46.2亿元，市本级国有资本经营预算支出</w:t>
      </w:r>
      <w:r>
        <w:rPr>
          <w:rFonts w:hint="eastAsia" w:ascii="Times New Roman" w:hAnsi="Times New Roman"/>
          <w:szCs w:val="32"/>
        </w:rPr>
        <w:t>完成</w:t>
      </w:r>
      <w:r>
        <w:rPr>
          <w:rFonts w:ascii="Times New Roman" w:hAnsi="Times New Roman"/>
          <w:szCs w:val="32"/>
        </w:rPr>
        <w:t>46.2亿元，预算收支均完成年度</w:t>
      </w:r>
      <w:r>
        <w:rPr>
          <w:rFonts w:hint="eastAsia" w:ascii="Times New Roman" w:hAnsi="Times New Roman"/>
          <w:szCs w:val="32"/>
        </w:rPr>
        <w:t>调整</w:t>
      </w:r>
      <w:r>
        <w:rPr>
          <w:rFonts w:ascii="Times New Roman" w:hAnsi="Times New Roman"/>
          <w:szCs w:val="32"/>
        </w:rPr>
        <w:t>预算的100%，收支保持平衡。</w:t>
      </w:r>
      <w:r>
        <w:rPr>
          <w:rFonts w:hint="eastAsia" w:ascii="Times New Roman" w:hAnsi="Times New Roman"/>
          <w:szCs w:val="32"/>
        </w:rPr>
        <w:t>2017年市</w:t>
      </w:r>
      <w:r>
        <w:rPr>
          <w:rFonts w:ascii="Times New Roman" w:hAnsi="Times New Roman"/>
          <w:szCs w:val="32"/>
        </w:rPr>
        <w:t>本级国有资本经营预算</w:t>
      </w:r>
      <w:r>
        <w:rPr>
          <w:rFonts w:hint="eastAsia" w:ascii="Times New Roman" w:hAnsi="Times New Roman"/>
          <w:szCs w:val="32"/>
        </w:rPr>
        <w:t>收支规模较大主要是根据国有企业资产</w:t>
      </w:r>
      <w:r>
        <w:rPr>
          <w:szCs w:val="32"/>
        </w:rPr>
        <w:t>重组</w:t>
      </w:r>
      <w:r>
        <w:rPr>
          <w:rFonts w:hint="eastAsia"/>
          <w:szCs w:val="32"/>
        </w:rPr>
        <w:t>计划，一次性增加专项收入上缴和安排资本金注入</w:t>
      </w:r>
      <w:r>
        <w:rPr>
          <w:rFonts w:hint="eastAsia" w:ascii="Times New Roman" w:hAnsi="Times New Roman"/>
          <w:szCs w:val="32"/>
        </w:rPr>
        <w:t>42.1亿元。</w:t>
      </w:r>
    </w:p>
    <w:p>
      <w:pPr>
        <w:tabs>
          <w:tab w:val="left" w:pos="540"/>
          <w:tab w:val="left" w:pos="2600"/>
        </w:tabs>
        <w:adjustRightInd w:val="0"/>
        <w:spacing w:line="560" w:lineRule="exact"/>
        <w:ind w:firstLine="640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（四）社会保险基金预算执行情况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2017年市区社会保险基金预算收入</w:t>
      </w:r>
      <w:r>
        <w:rPr>
          <w:rFonts w:hint="eastAsia" w:ascii="Times New Roman" w:hAnsi="Times New Roman"/>
          <w:szCs w:val="32"/>
        </w:rPr>
        <w:t>完成439.1</w:t>
      </w:r>
      <w:r>
        <w:rPr>
          <w:rFonts w:ascii="Times New Roman" w:hAnsi="Times New Roman"/>
          <w:szCs w:val="32"/>
        </w:rPr>
        <w:t>亿元，完成年度</w:t>
      </w:r>
      <w:r>
        <w:rPr>
          <w:rFonts w:hint="eastAsia" w:ascii="Times New Roman" w:hAnsi="Times New Roman"/>
          <w:szCs w:val="32"/>
        </w:rPr>
        <w:t>调整</w:t>
      </w:r>
      <w:r>
        <w:rPr>
          <w:rFonts w:ascii="Times New Roman" w:hAnsi="Times New Roman"/>
          <w:szCs w:val="32"/>
        </w:rPr>
        <w:t>预算的10</w:t>
      </w:r>
      <w:r>
        <w:rPr>
          <w:rFonts w:hint="eastAsia" w:ascii="Times New Roman" w:hAnsi="Times New Roman"/>
          <w:szCs w:val="32"/>
        </w:rPr>
        <w:t>4.2</w:t>
      </w:r>
      <w:r>
        <w:rPr>
          <w:rFonts w:ascii="Times New Roman" w:hAnsi="Times New Roman"/>
          <w:szCs w:val="32"/>
        </w:rPr>
        <w:t>%；市区社会保险基金预算支出</w:t>
      </w:r>
      <w:r>
        <w:rPr>
          <w:rFonts w:hint="eastAsia" w:ascii="Times New Roman" w:hAnsi="Times New Roman"/>
          <w:szCs w:val="32"/>
        </w:rPr>
        <w:t>完成</w:t>
      </w:r>
      <w:r>
        <w:rPr>
          <w:rFonts w:ascii="Times New Roman" w:hAnsi="Times New Roman"/>
          <w:szCs w:val="32"/>
        </w:rPr>
        <w:t>40</w:t>
      </w:r>
      <w:r>
        <w:rPr>
          <w:rFonts w:hint="eastAsia" w:ascii="Times New Roman" w:hAnsi="Times New Roman"/>
          <w:szCs w:val="32"/>
        </w:rPr>
        <w:t>5</w:t>
      </w:r>
      <w:r>
        <w:rPr>
          <w:rFonts w:ascii="Times New Roman" w:hAnsi="Times New Roman"/>
          <w:szCs w:val="32"/>
        </w:rPr>
        <w:t>.5亿元，完成年度</w:t>
      </w:r>
      <w:r>
        <w:rPr>
          <w:rFonts w:hint="eastAsia" w:ascii="Times New Roman" w:hAnsi="Times New Roman"/>
          <w:szCs w:val="32"/>
        </w:rPr>
        <w:t>调整</w:t>
      </w:r>
      <w:r>
        <w:rPr>
          <w:rFonts w:ascii="Times New Roman" w:hAnsi="Times New Roman"/>
          <w:szCs w:val="32"/>
        </w:rPr>
        <w:t>预算的97.</w:t>
      </w:r>
      <w:r>
        <w:rPr>
          <w:rFonts w:hint="eastAsia" w:ascii="Times New Roman" w:hAnsi="Times New Roman"/>
          <w:szCs w:val="32"/>
        </w:rPr>
        <w:t>9</w:t>
      </w:r>
      <w:r>
        <w:rPr>
          <w:rFonts w:ascii="Times New Roman" w:hAnsi="Times New Roman"/>
          <w:szCs w:val="32"/>
        </w:rPr>
        <w:t>%，收支相抵后，当年收支结余</w:t>
      </w:r>
      <w:r>
        <w:rPr>
          <w:rFonts w:hint="eastAsia" w:ascii="Times New Roman" w:hAnsi="Times New Roman"/>
          <w:szCs w:val="32"/>
        </w:rPr>
        <w:t>33.6</w:t>
      </w:r>
      <w:r>
        <w:rPr>
          <w:rFonts w:ascii="Times New Roman" w:hAnsi="Times New Roman"/>
          <w:szCs w:val="32"/>
        </w:rPr>
        <w:t>亿元。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在市与省、区办理正式财政决算后，上述四本预算执行情况还会有一些变动，届时我们再向市人大常委会报告。</w:t>
      </w:r>
    </w:p>
    <w:p>
      <w:pPr>
        <w:tabs>
          <w:tab w:val="left" w:pos="540"/>
          <w:tab w:val="left" w:pos="2600"/>
        </w:tabs>
        <w:adjustRightInd w:val="0"/>
        <w:spacing w:line="560" w:lineRule="exact"/>
        <w:ind w:firstLine="640"/>
        <w:rPr>
          <w:rFonts w:ascii="Times New Roman" w:hAnsi="Times New Roman" w:eastAsia="楷体_GB2312"/>
          <w:szCs w:val="32"/>
        </w:rPr>
      </w:pPr>
      <w:bookmarkStart w:id="0" w:name="OLE_LINK1"/>
      <w:r>
        <w:rPr>
          <w:rFonts w:ascii="Times New Roman" w:hAnsi="Times New Roman" w:eastAsia="楷体_GB2312"/>
          <w:szCs w:val="32"/>
        </w:rPr>
        <w:t>（五）地方政府债务情况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截至2017年底，市本级地方</w:t>
      </w:r>
      <w:r>
        <w:rPr>
          <w:rFonts w:hint="eastAsia" w:ascii="Times New Roman" w:hAnsi="Times New Roman"/>
          <w:kern w:val="0"/>
          <w:szCs w:val="32"/>
        </w:rPr>
        <w:t>政府</w:t>
      </w:r>
      <w:r>
        <w:rPr>
          <w:rFonts w:ascii="Times New Roman" w:hAnsi="Times New Roman"/>
          <w:kern w:val="0"/>
          <w:szCs w:val="32"/>
        </w:rPr>
        <w:t>债务限额2</w:t>
      </w:r>
      <w:r>
        <w:rPr>
          <w:rFonts w:hint="eastAsia" w:ascii="Times New Roman" w:hAnsi="Times New Roman"/>
          <w:kern w:val="0"/>
          <w:szCs w:val="32"/>
        </w:rPr>
        <w:t>71</w:t>
      </w:r>
      <w:r>
        <w:rPr>
          <w:rFonts w:ascii="Times New Roman" w:hAnsi="Times New Roman"/>
          <w:kern w:val="0"/>
          <w:szCs w:val="32"/>
        </w:rPr>
        <w:t>.</w:t>
      </w:r>
      <w:r>
        <w:rPr>
          <w:rFonts w:hint="eastAsia" w:ascii="Times New Roman" w:hAnsi="Times New Roman"/>
          <w:kern w:val="0"/>
          <w:szCs w:val="32"/>
        </w:rPr>
        <w:t>9</w:t>
      </w:r>
      <w:r>
        <w:rPr>
          <w:rFonts w:ascii="Times New Roman" w:hAnsi="Times New Roman"/>
          <w:kern w:val="0"/>
          <w:szCs w:val="32"/>
        </w:rPr>
        <w:t>亿元，其中：一般债务限额127.6亿元，专项债务限额14</w:t>
      </w:r>
      <w:r>
        <w:rPr>
          <w:rFonts w:hint="eastAsia" w:ascii="Times New Roman" w:hAnsi="Times New Roman"/>
          <w:kern w:val="0"/>
          <w:szCs w:val="32"/>
        </w:rPr>
        <w:t>4.3</w:t>
      </w:r>
      <w:r>
        <w:rPr>
          <w:rFonts w:ascii="Times New Roman" w:hAnsi="Times New Roman"/>
          <w:kern w:val="0"/>
          <w:szCs w:val="32"/>
        </w:rPr>
        <w:t>亿元。市本级地方</w:t>
      </w:r>
      <w:r>
        <w:rPr>
          <w:rFonts w:hint="eastAsia" w:ascii="Times New Roman" w:hAnsi="Times New Roman"/>
          <w:kern w:val="0"/>
          <w:szCs w:val="32"/>
        </w:rPr>
        <w:t>政府</w:t>
      </w:r>
      <w:r>
        <w:rPr>
          <w:rFonts w:ascii="Times New Roman" w:hAnsi="Times New Roman"/>
          <w:kern w:val="0"/>
          <w:szCs w:val="32"/>
        </w:rPr>
        <w:t>债务余额2</w:t>
      </w:r>
      <w:r>
        <w:rPr>
          <w:rFonts w:hint="eastAsia" w:ascii="Times New Roman" w:hAnsi="Times New Roman"/>
          <w:kern w:val="0"/>
          <w:szCs w:val="32"/>
        </w:rPr>
        <w:t>71.9</w:t>
      </w:r>
      <w:r>
        <w:rPr>
          <w:rFonts w:ascii="Times New Roman" w:hAnsi="Times New Roman"/>
          <w:kern w:val="0"/>
          <w:szCs w:val="32"/>
        </w:rPr>
        <w:t>亿元，具体包括：2015-2017年地方政府债券25</w:t>
      </w:r>
      <w:r>
        <w:rPr>
          <w:rFonts w:hint="eastAsia" w:ascii="Times New Roman" w:hAnsi="Times New Roman"/>
          <w:kern w:val="0"/>
          <w:szCs w:val="32"/>
        </w:rPr>
        <w:t>8</w:t>
      </w:r>
      <w:r>
        <w:rPr>
          <w:rFonts w:ascii="Times New Roman" w:hAnsi="Times New Roman"/>
          <w:kern w:val="0"/>
          <w:szCs w:val="32"/>
        </w:rPr>
        <w:t>.</w:t>
      </w:r>
      <w:r>
        <w:rPr>
          <w:rFonts w:hint="eastAsia" w:ascii="Times New Roman" w:hAnsi="Times New Roman"/>
          <w:kern w:val="0"/>
          <w:szCs w:val="32"/>
        </w:rPr>
        <w:t>6</w:t>
      </w:r>
      <w:r>
        <w:rPr>
          <w:rFonts w:ascii="Times New Roman" w:hAnsi="Times New Roman"/>
          <w:kern w:val="0"/>
          <w:szCs w:val="32"/>
        </w:rPr>
        <w:t>亿元，2014年以前国债转贷等其他债务13.3亿元</w:t>
      </w:r>
      <w:r>
        <w:rPr>
          <w:rFonts w:hint="eastAsia" w:ascii="Times New Roman" w:hAnsi="Times New Roman"/>
          <w:kern w:val="0"/>
          <w:szCs w:val="32"/>
        </w:rPr>
        <w:t>，</w:t>
      </w:r>
      <w:r>
        <w:rPr>
          <w:rFonts w:ascii="Times New Roman" w:hAnsi="Times New Roman"/>
          <w:kern w:val="0"/>
          <w:szCs w:val="32"/>
        </w:rPr>
        <w:t>地方政府债务风险总体可控。</w:t>
      </w:r>
    </w:p>
    <w:p>
      <w:pPr>
        <w:tabs>
          <w:tab w:val="left" w:pos="540"/>
          <w:tab w:val="left" w:pos="2600"/>
        </w:tabs>
        <w:adjustRightInd w:val="0"/>
        <w:spacing w:line="560" w:lineRule="exact"/>
        <w:ind w:firstLine="640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（六）2017年落实市人大预算决议及市本级财政主要工作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2017年，按照市十六届人大一次会议的有关决议和财经委员会的审查意见，全市各级财政部门积极作为、精准发力，围绕“两聚一高”部署要求，着力推进以“三去一降一补”为重点的供给侧结构性改革，为</w:t>
      </w:r>
      <w:r>
        <w:rPr>
          <w:rFonts w:hint="eastAsia" w:ascii="Times New Roman" w:hAnsi="Times New Roman"/>
          <w:kern w:val="0"/>
          <w:szCs w:val="32"/>
        </w:rPr>
        <w:t>全市</w:t>
      </w:r>
      <w:r>
        <w:rPr>
          <w:rFonts w:ascii="Times New Roman" w:hAnsi="Times New Roman"/>
          <w:kern w:val="0"/>
          <w:szCs w:val="32"/>
        </w:rPr>
        <w:t>经济社会全面、健康、协调发展提供有力支撑。</w:t>
      </w:r>
    </w:p>
    <w:p>
      <w:pPr>
        <w:tabs>
          <w:tab w:val="left" w:pos="540"/>
          <w:tab w:val="left" w:pos="2600"/>
        </w:tabs>
        <w:adjustRightInd w:val="0"/>
        <w:spacing w:line="560" w:lineRule="exact"/>
        <w:ind w:firstLine="643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1、坚持创新驱动、</w:t>
      </w:r>
      <w:r>
        <w:rPr>
          <w:rFonts w:hint="eastAsia" w:ascii="Times New Roman" w:hAnsi="Times New Roman"/>
          <w:b/>
          <w:szCs w:val="32"/>
        </w:rPr>
        <w:t>加快</w:t>
      </w:r>
      <w:r>
        <w:rPr>
          <w:rFonts w:ascii="Times New Roman" w:hAnsi="Times New Roman"/>
          <w:b/>
          <w:szCs w:val="32"/>
        </w:rPr>
        <w:t>发展，</w:t>
      </w:r>
      <w:r>
        <w:rPr>
          <w:rFonts w:hint="eastAsia" w:ascii="Times New Roman" w:hAnsi="Times New Roman"/>
          <w:b/>
          <w:szCs w:val="32"/>
        </w:rPr>
        <w:t>助力落实</w:t>
      </w:r>
      <w:r>
        <w:rPr>
          <w:rFonts w:ascii="Times New Roman" w:hAnsi="Times New Roman"/>
          <w:b/>
          <w:szCs w:val="32"/>
        </w:rPr>
        <w:t>产业强市战略</w:t>
      </w:r>
    </w:p>
    <w:p>
      <w:pPr>
        <w:adjustRightInd w:val="0"/>
        <w:spacing w:line="560" w:lineRule="exact"/>
        <w:ind w:firstLine="640"/>
        <w:jc w:val="left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</w:rPr>
        <w:t>以促进供给侧结构性改革为契机，深入实施产业强市和创新驱动战略，加大财政资金的整合、聚焦和放大力度，着力构建与经济新常态相适应、与创新创业相衔接、与无锡实际相符合的财税政策体系，促进产业转型升级，支持经济提质增效</w:t>
      </w:r>
      <w:r>
        <w:rPr>
          <w:rFonts w:ascii="Times New Roman" w:hAnsi="Times New Roman"/>
          <w:kern w:val="0"/>
          <w:szCs w:val="32"/>
        </w:rPr>
        <w:t>。</w:t>
      </w:r>
      <w:r>
        <w:rPr>
          <w:rFonts w:ascii="Times New Roman" w:hAnsi="Times New Roman"/>
          <w:b/>
          <w:kern w:val="0"/>
          <w:szCs w:val="32"/>
        </w:rPr>
        <w:t>积极优化政策供给</w:t>
      </w:r>
      <w:r>
        <w:rPr>
          <w:rFonts w:ascii="Times New Roman" w:hAnsi="Times New Roman"/>
          <w:kern w:val="0"/>
          <w:szCs w:val="32"/>
        </w:rPr>
        <w:t>，制定出台《无锡市深化现代产业政策意见》，聚焦科技创新发展</w:t>
      </w:r>
      <w:r>
        <w:rPr>
          <w:rFonts w:hint="eastAsia" w:ascii="Times New Roman" w:hAnsi="Times New Roman"/>
          <w:kern w:val="0"/>
          <w:szCs w:val="32"/>
        </w:rPr>
        <w:t>和</w:t>
      </w:r>
      <w:r>
        <w:rPr>
          <w:rFonts w:ascii="Times New Roman" w:hAnsi="Times New Roman"/>
          <w:kern w:val="0"/>
          <w:szCs w:val="32"/>
        </w:rPr>
        <w:t>三个三年行动计划，市本级全年兑现产业扶持资金</w:t>
      </w:r>
      <w:r>
        <w:rPr>
          <w:rFonts w:hint="eastAsia" w:ascii="Times New Roman" w:hAnsi="Times New Roman"/>
          <w:kern w:val="0"/>
          <w:szCs w:val="32"/>
        </w:rPr>
        <w:t>17.8</w:t>
      </w:r>
      <w:r>
        <w:rPr>
          <w:rFonts w:ascii="Times New Roman" w:hAnsi="Times New Roman"/>
          <w:kern w:val="0"/>
          <w:szCs w:val="32"/>
        </w:rPr>
        <w:t>亿元，扶持项目</w:t>
      </w:r>
      <w:r>
        <w:rPr>
          <w:rFonts w:hint="eastAsia" w:ascii="Times New Roman" w:hAnsi="Times New Roman"/>
          <w:kern w:val="0"/>
          <w:szCs w:val="32"/>
        </w:rPr>
        <w:t>1461</w:t>
      </w:r>
      <w:r>
        <w:rPr>
          <w:rFonts w:ascii="Times New Roman" w:hAnsi="Times New Roman"/>
          <w:kern w:val="0"/>
          <w:szCs w:val="32"/>
        </w:rPr>
        <w:t>个、惠及企业</w:t>
      </w:r>
      <w:r>
        <w:rPr>
          <w:rFonts w:hint="eastAsia" w:ascii="Times New Roman" w:hAnsi="Times New Roman"/>
          <w:kern w:val="0"/>
          <w:szCs w:val="32"/>
        </w:rPr>
        <w:t>920</w:t>
      </w:r>
      <w:r>
        <w:rPr>
          <w:rFonts w:ascii="Times New Roman" w:hAnsi="Times New Roman"/>
          <w:kern w:val="0"/>
          <w:szCs w:val="32"/>
        </w:rPr>
        <w:t>家。</w:t>
      </w:r>
      <w:r>
        <w:rPr>
          <w:rFonts w:ascii="Times New Roman" w:hAnsi="Times New Roman"/>
          <w:b/>
          <w:kern w:val="0"/>
          <w:szCs w:val="32"/>
        </w:rPr>
        <w:t>深入推动产业基金运作</w:t>
      </w:r>
      <w:r>
        <w:rPr>
          <w:rFonts w:ascii="Times New Roman" w:hAnsi="Times New Roman"/>
          <w:kern w:val="0"/>
          <w:szCs w:val="32"/>
        </w:rPr>
        <w:t>，构建产业并购、共同投资、天使投资三类功能性基金集群，股权基金协议总规模达263.7亿元，子基金累计投资项目41个，总规模13.89亿元，其中投资无锡项目23个，总规模10.6亿元，带动社会投资31.5亿元，带动放大</w:t>
      </w:r>
      <w:r>
        <w:rPr>
          <w:rFonts w:hint="eastAsia" w:ascii="Times New Roman" w:hAnsi="Times New Roman"/>
          <w:kern w:val="0"/>
          <w:szCs w:val="32"/>
        </w:rPr>
        <w:t>近</w:t>
      </w:r>
      <w:r>
        <w:rPr>
          <w:rFonts w:ascii="Times New Roman" w:hAnsi="Times New Roman"/>
          <w:kern w:val="0"/>
          <w:szCs w:val="32"/>
        </w:rPr>
        <w:t>15倍。</w:t>
      </w:r>
      <w:r>
        <w:rPr>
          <w:rFonts w:ascii="Times New Roman" w:hAnsi="Times New Roman"/>
          <w:b/>
          <w:kern w:val="0"/>
          <w:szCs w:val="32"/>
        </w:rPr>
        <w:t>不断扩大信保基金范围，</w:t>
      </w:r>
      <w:r>
        <w:rPr>
          <w:rFonts w:ascii="Times New Roman" w:hAnsi="Times New Roman"/>
          <w:kern w:val="0"/>
          <w:szCs w:val="32"/>
        </w:rPr>
        <w:t>基金合作规模达到111亿元，支持企业逾2</w:t>
      </w:r>
      <w:r>
        <w:rPr>
          <w:rFonts w:hint="eastAsia" w:ascii="Times New Roman" w:hAnsi="Times New Roman"/>
          <w:kern w:val="0"/>
          <w:szCs w:val="32"/>
        </w:rPr>
        <w:t>780</w:t>
      </w:r>
      <w:r>
        <w:rPr>
          <w:rFonts w:ascii="Times New Roman" w:hAnsi="Times New Roman"/>
          <w:kern w:val="0"/>
          <w:szCs w:val="32"/>
        </w:rPr>
        <w:t>家，平均融资利率仅为5%，2017年降低企业融资成本约</w:t>
      </w:r>
      <w:r>
        <w:rPr>
          <w:rFonts w:hint="eastAsia" w:ascii="Times New Roman" w:hAnsi="Times New Roman"/>
          <w:kern w:val="0"/>
          <w:szCs w:val="32"/>
        </w:rPr>
        <w:t>0.6亿</w:t>
      </w:r>
      <w:r>
        <w:rPr>
          <w:rFonts w:ascii="Times New Roman" w:hAnsi="Times New Roman"/>
          <w:kern w:val="0"/>
          <w:szCs w:val="32"/>
        </w:rPr>
        <w:t>元；</w:t>
      </w:r>
      <w:r>
        <w:rPr>
          <w:rFonts w:ascii="Times New Roman" w:hAnsi="Times New Roman"/>
        </w:rPr>
        <w:t>应急转贷资金累计办理转贷业务1540笔、转贷资金109.1亿元，</w:t>
      </w:r>
      <w:r>
        <w:rPr>
          <w:rFonts w:hint="eastAsia" w:ascii="Times New Roman" w:hAnsi="Times New Roman"/>
        </w:rPr>
        <w:t>有效</w:t>
      </w:r>
      <w:r>
        <w:rPr>
          <w:rFonts w:ascii="Times New Roman" w:hAnsi="Times New Roman"/>
        </w:rPr>
        <w:t>缓解中小企业融资难题。</w:t>
      </w:r>
      <w:r>
        <w:rPr>
          <w:rFonts w:ascii="Times New Roman" w:hAnsi="Times New Roman"/>
          <w:b/>
          <w:kern w:val="0"/>
          <w:szCs w:val="32"/>
        </w:rPr>
        <w:t>推进新一轮实体经济降成本行动</w:t>
      </w:r>
      <w:r>
        <w:rPr>
          <w:rFonts w:ascii="Times New Roman" w:hAnsi="Times New Roman"/>
          <w:kern w:val="0"/>
          <w:szCs w:val="32"/>
        </w:rPr>
        <w:t>，落实简化增值税税率结构、扩大企业所得税优惠范围、提高研发费用税前加计扣除比例等税收优惠，取消、减征3项政府性基金、72项行政事业性收费和4项经营服务性收费，阶段性降低社保缴费基数和比例，各项减税降费政策综合施政，预计全年为企业再减负200亿元左右。</w:t>
      </w:r>
    </w:p>
    <w:p>
      <w:pPr>
        <w:tabs>
          <w:tab w:val="left" w:pos="540"/>
          <w:tab w:val="left" w:pos="2600"/>
        </w:tabs>
        <w:adjustRightInd w:val="0"/>
        <w:spacing w:line="560" w:lineRule="exact"/>
        <w:ind w:firstLine="643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2、坚持聚焦富民、共享发展，民生保障水平不断提高</w:t>
      </w:r>
    </w:p>
    <w:p>
      <w:pPr>
        <w:adjustRightInd w:val="0"/>
        <w:spacing w:line="560" w:lineRule="exact"/>
        <w:ind w:firstLine="640"/>
        <w:rPr>
          <w:rFonts w:ascii="Times New Roman" w:hAnsi="Times New Roman"/>
        </w:rPr>
      </w:pPr>
      <w:r>
        <w:rPr>
          <w:rFonts w:ascii="Times New Roman" w:hAnsi="Times New Roman"/>
          <w:kern w:val="0"/>
          <w:szCs w:val="32"/>
        </w:rPr>
        <w:t>全面践行共享发展理念，坚持加大投入与完善机制并重，拉高平均线</w:t>
      </w:r>
      <w:r>
        <w:rPr>
          <w:rFonts w:hint="eastAsia" w:ascii="Times New Roman" w:hAnsi="Times New Roman"/>
          <w:kern w:val="0"/>
          <w:szCs w:val="32"/>
        </w:rPr>
        <w:t>、</w:t>
      </w:r>
      <w:r>
        <w:rPr>
          <w:rFonts w:ascii="Times New Roman" w:hAnsi="Times New Roman"/>
          <w:kern w:val="0"/>
          <w:szCs w:val="32"/>
        </w:rPr>
        <w:t>抬高地平线</w:t>
      </w:r>
      <w:r>
        <w:rPr>
          <w:rFonts w:hint="eastAsia" w:ascii="Times New Roman" w:hAnsi="Times New Roman"/>
          <w:kern w:val="0"/>
          <w:szCs w:val="32"/>
        </w:rPr>
        <w:t>，</w:t>
      </w:r>
      <w:r>
        <w:rPr>
          <w:rFonts w:ascii="Times New Roman" w:hAnsi="Times New Roman"/>
          <w:kern w:val="0"/>
          <w:szCs w:val="32"/>
        </w:rPr>
        <w:t>大力推进基本公共服务均等化，努力构筑普惠民生</w:t>
      </w:r>
      <w:r>
        <w:rPr>
          <w:rFonts w:hint="eastAsia" w:ascii="Times New Roman" w:hAnsi="Times New Roman"/>
          <w:kern w:val="0"/>
          <w:szCs w:val="32"/>
        </w:rPr>
        <w:t>、精准帮扶</w:t>
      </w:r>
      <w:r>
        <w:rPr>
          <w:rFonts w:ascii="Times New Roman" w:hAnsi="Times New Roman"/>
          <w:kern w:val="0"/>
          <w:szCs w:val="32"/>
        </w:rPr>
        <w:t>政策体系，实现经济发展与改善民生的良性互动。</w:t>
      </w:r>
      <w:r>
        <w:rPr>
          <w:rFonts w:ascii="Times New Roman" w:hAnsi="Times New Roman"/>
          <w:b/>
          <w:bCs/>
        </w:rPr>
        <w:t>聚焦富民增收。</w:t>
      </w:r>
      <w:r>
        <w:rPr>
          <w:rFonts w:ascii="Times New Roman" w:hAnsi="Times New Roman"/>
          <w:szCs w:val="32"/>
        </w:rPr>
        <w:t>推动</w:t>
      </w:r>
      <w:r>
        <w:rPr>
          <w:rFonts w:ascii="Times New Roman" w:hAnsi="Times New Roman"/>
          <w:bCs/>
        </w:rPr>
        <w:t>产业富民，</w:t>
      </w:r>
      <w:r>
        <w:rPr>
          <w:rFonts w:ascii="Times New Roman" w:hAnsi="Times New Roman"/>
          <w:szCs w:val="32"/>
        </w:rPr>
        <w:t>落实0.4亿元助力企业登陆资本市场，安排5.1亿元推动农业供给侧改革和农业一二三产融合发展，安排2.2亿元支持打造“太湖人才计划”升级版；推动</w:t>
      </w:r>
      <w:r>
        <w:rPr>
          <w:rFonts w:ascii="Times New Roman" w:hAnsi="Times New Roman"/>
          <w:bCs/>
        </w:rPr>
        <w:t>创业富民，</w:t>
      </w:r>
      <w:r>
        <w:rPr>
          <w:rFonts w:ascii="Times New Roman" w:hAnsi="Times New Roman"/>
          <w:szCs w:val="32"/>
        </w:rPr>
        <w:t>落实创业租金补贴、开业补贴、创业带动就业补贴、创业项目无偿资助等扶持政策，发放创业相关补贴近0.2亿元；推动</w:t>
      </w:r>
      <w:r>
        <w:rPr>
          <w:rFonts w:ascii="Times New Roman" w:hAnsi="Times New Roman"/>
          <w:bCs/>
        </w:rPr>
        <w:t>就业富民，</w:t>
      </w:r>
      <w:r>
        <w:rPr>
          <w:rFonts w:ascii="Times New Roman" w:hAnsi="Times New Roman"/>
        </w:rPr>
        <w:t>安排就业补助资金8.3亿元，拨付企业稳岗补贴2.5亿元，</w:t>
      </w:r>
      <w:r>
        <w:rPr>
          <w:rFonts w:ascii="Times New Roman" w:hAnsi="Times New Roman"/>
          <w:kern w:val="0"/>
          <w:szCs w:val="32"/>
        </w:rPr>
        <w:t>开发公益性就业岗位超500个，</w:t>
      </w:r>
      <w:r>
        <w:rPr>
          <w:rFonts w:ascii="Times New Roman" w:hAnsi="Times New Roman"/>
          <w:szCs w:val="32"/>
        </w:rPr>
        <w:t>全方位稳定就业岗位，促进就业增收。</w:t>
      </w:r>
      <w:r>
        <w:rPr>
          <w:rFonts w:ascii="Times New Roman" w:hAnsi="Times New Roman"/>
          <w:b/>
        </w:rPr>
        <w:t>加强惠民保障。</w:t>
      </w:r>
      <w:r>
        <w:rPr>
          <w:rFonts w:ascii="Times New Roman" w:hAnsi="Times New Roman"/>
        </w:rPr>
        <w:t>推进</w:t>
      </w:r>
      <w:r>
        <w:rPr>
          <w:rFonts w:ascii="Times New Roman" w:hAnsi="Times New Roman"/>
          <w:bCs/>
        </w:rPr>
        <w:t>学有所教，</w:t>
      </w:r>
      <w:r>
        <w:rPr>
          <w:rFonts w:ascii="Times New Roman" w:hAnsi="Times New Roman"/>
          <w:szCs w:val="32"/>
        </w:rPr>
        <w:t>生均公用经费、校舍维修资金市级基准定额与省定标准浮动挂钩、动态调整，</w:t>
      </w:r>
      <w:r>
        <w:rPr>
          <w:rFonts w:ascii="Times New Roman" w:hAnsi="Times New Roman"/>
          <w:bCs/>
          <w:szCs w:val="32"/>
        </w:rPr>
        <w:t>实施职业教育质量提升工程，加快南京信息工程大学滨江学院建设</w:t>
      </w:r>
      <w:r>
        <w:rPr>
          <w:rFonts w:ascii="Times New Roman" w:hAnsi="Times New Roman"/>
          <w:szCs w:val="32"/>
        </w:rPr>
        <w:t>；推进</w:t>
      </w:r>
      <w:r>
        <w:rPr>
          <w:rFonts w:ascii="Times New Roman" w:hAnsi="Times New Roman"/>
          <w:bCs/>
        </w:rPr>
        <w:t>病有所医，</w:t>
      </w:r>
      <w:r>
        <w:rPr>
          <w:rFonts w:ascii="Times New Roman" w:hAnsi="Times New Roman"/>
        </w:rPr>
        <w:t>各类居民医疗补助标准提高到520元，</w:t>
      </w:r>
      <w:r>
        <w:rPr>
          <w:rFonts w:ascii="Times New Roman" w:hAnsi="Times New Roman"/>
          <w:szCs w:val="32"/>
        </w:rPr>
        <w:t>慢性病患者门诊医疗费用救助标准、大病保险起付线和救助比例持续提高</w:t>
      </w:r>
      <w:r>
        <w:rPr>
          <w:rFonts w:ascii="Times New Roman" w:hAnsi="Times New Roman"/>
        </w:rPr>
        <w:t>；推进</w:t>
      </w:r>
      <w:r>
        <w:rPr>
          <w:rFonts w:ascii="Times New Roman" w:hAnsi="Times New Roman"/>
          <w:bCs/>
        </w:rPr>
        <w:t>老有所养，</w:t>
      </w:r>
      <w:r>
        <w:rPr>
          <w:rFonts w:ascii="Times New Roman" w:hAnsi="Times New Roman"/>
        </w:rPr>
        <w:t>2017年1月1日起企业退休人员基本养老金标准提高163.3元，7月1日起居民基础养老金从370元提高到405元；推进住有所居，下达旧住宅区整治改造和住房保障资金2.1亿元，支持廉租房、公租房补贴资格标准上调8%-10%、经适房货币补贴标准每平方米上调840元。推进弱有所扶，坚持“脱贫路上一个都不能少”，进一步落实深度救助和精准扶贫，安排0.3亿元帮扶经济薄弱村脱贫致富。</w:t>
      </w:r>
      <w:r>
        <w:rPr>
          <w:rFonts w:ascii="Times New Roman" w:hAnsi="Times New Roman"/>
          <w:b/>
          <w:szCs w:val="32"/>
        </w:rPr>
        <w:t>坚持生态优先。</w:t>
      </w:r>
      <w:r>
        <w:rPr>
          <w:rFonts w:ascii="Times New Roman" w:hAnsi="Times New Roman"/>
        </w:rPr>
        <w:t>积极推进“263”工程，建立与污染物排放总量挂钩的财政政策，完善水环境区域补偿工作方案；破解“垃圾围城”，制定生活垃圾分类收集考核奖补办法，</w:t>
      </w:r>
      <w:r>
        <w:rPr>
          <w:rFonts w:hint="eastAsia" w:ascii="Times New Roman" w:hAnsi="Times New Roman"/>
          <w:szCs w:val="32"/>
        </w:rPr>
        <w:t>进一步</w:t>
      </w:r>
      <w:r>
        <w:rPr>
          <w:rFonts w:ascii="Times New Roman" w:hAnsi="Times New Roman"/>
          <w:szCs w:val="32"/>
        </w:rPr>
        <w:t>拨付</w:t>
      </w:r>
      <w:r>
        <w:rPr>
          <w:rFonts w:hint="eastAsia" w:ascii="Times New Roman" w:hAnsi="Times New Roman"/>
          <w:szCs w:val="32"/>
        </w:rPr>
        <w:t>专项资金4.5亿元</w:t>
      </w:r>
      <w:r>
        <w:rPr>
          <w:rFonts w:ascii="Times New Roman" w:hAnsi="Times New Roman"/>
        </w:rPr>
        <w:t>用于锡东生活垃圾焚烧厂复工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建设运营；加大水环境保护力度，当年安排太湖水治理专项资金2.3亿元，加上清理盘活存量资金3.2亿元，有力保障梅梁湖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竺山湖生态清淤工程、新沟河拓浚延伸工程等重大项目加快推进。</w:t>
      </w:r>
    </w:p>
    <w:p>
      <w:pPr>
        <w:tabs>
          <w:tab w:val="left" w:pos="540"/>
          <w:tab w:val="left" w:pos="2600"/>
        </w:tabs>
        <w:adjustRightInd w:val="0"/>
        <w:spacing w:line="560" w:lineRule="exact"/>
        <w:ind w:firstLine="681" w:firstLineChars="212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3、坚持稳中求进、持续发展，确保财政预算综合平衡</w:t>
      </w:r>
    </w:p>
    <w:p>
      <w:pPr>
        <w:adjustRightInd w:val="0"/>
        <w:spacing w:line="560" w:lineRule="exact"/>
        <w:ind w:firstLine="640"/>
        <w:jc w:val="left"/>
        <w:rPr>
          <w:rFonts w:ascii="Times New Roman" w:hAnsi="Times New Roman" w:eastAsia="宋体"/>
          <w:color w:val="111111"/>
          <w:kern w:val="0"/>
          <w:szCs w:val="21"/>
        </w:rPr>
      </w:pPr>
      <w:r>
        <w:rPr>
          <w:rFonts w:ascii="Times New Roman" w:hAnsi="Times New Roman"/>
          <w:kern w:val="0"/>
          <w:szCs w:val="32"/>
        </w:rPr>
        <w:t>紧扣新常态下经济发展形势，围绕年度预期目标，牢牢把握财源建设</w:t>
      </w:r>
      <w:r>
        <w:rPr>
          <w:rFonts w:hint="eastAsia" w:ascii="Times New Roman" w:hAnsi="Times New Roman"/>
          <w:kern w:val="0"/>
          <w:szCs w:val="32"/>
        </w:rPr>
        <w:t>和</w:t>
      </w:r>
      <w:r>
        <w:rPr>
          <w:rFonts w:ascii="Times New Roman" w:hAnsi="Times New Roman"/>
          <w:kern w:val="0"/>
          <w:szCs w:val="32"/>
        </w:rPr>
        <w:t>重点</w:t>
      </w:r>
      <w:r>
        <w:rPr>
          <w:rFonts w:hint="eastAsia" w:ascii="Times New Roman" w:hAnsi="Times New Roman"/>
          <w:kern w:val="0"/>
          <w:szCs w:val="32"/>
        </w:rPr>
        <w:t>支出关键</w:t>
      </w:r>
      <w:r>
        <w:rPr>
          <w:rFonts w:ascii="Times New Roman" w:hAnsi="Times New Roman"/>
          <w:kern w:val="0"/>
          <w:szCs w:val="32"/>
        </w:rPr>
        <w:t>环节，</w:t>
      </w:r>
      <w:r>
        <w:rPr>
          <w:rFonts w:hint="eastAsia" w:ascii="Times New Roman" w:hAnsi="Times New Roman"/>
          <w:kern w:val="0"/>
          <w:szCs w:val="32"/>
        </w:rPr>
        <w:t>不断提高收入组织水平、规范支出管理、加快预算执行，</w:t>
      </w:r>
      <w:r>
        <w:rPr>
          <w:rFonts w:ascii="Times New Roman" w:hAnsi="Times New Roman"/>
          <w:kern w:val="0"/>
          <w:szCs w:val="32"/>
        </w:rPr>
        <w:t>财政收支运行</w:t>
      </w:r>
      <w:r>
        <w:rPr>
          <w:rFonts w:hint="eastAsia" w:ascii="Times New Roman" w:hAnsi="Times New Roman"/>
          <w:kern w:val="0"/>
          <w:szCs w:val="32"/>
        </w:rPr>
        <w:t>稳中有进</w:t>
      </w:r>
      <w:r>
        <w:rPr>
          <w:rFonts w:ascii="Times New Roman" w:hAnsi="Times New Roman"/>
          <w:kern w:val="0"/>
          <w:szCs w:val="32"/>
        </w:rPr>
        <w:t>，</w:t>
      </w:r>
      <w:r>
        <w:rPr>
          <w:rFonts w:ascii="Times New Roman" w:hAnsi="Times New Roman"/>
          <w:color w:val="111111"/>
          <w:kern w:val="0"/>
          <w:szCs w:val="21"/>
        </w:rPr>
        <w:t>为</w:t>
      </w:r>
      <w:r>
        <w:rPr>
          <w:rFonts w:hint="eastAsia" w:ascii="Times New Roman" w:hAnsi="Times New Roman"/>
          <w:color w:val="111111"/>
          <w:kern w:val="0"/>
          <w:szCs w:val="21"/>
        </w:rPr>
        <w:t>实现全市GDP破万亿大关</w:t>
      </w:r>
      <w:r>
        <w:rPr>
          <w:rFonts w:ascii="Times New Roman" w:hAnsi="Times New Roman"/>
          <w:color w:val="111111"/>
          <w:kern w:val="0"/>
          <w:szCs w:val="21"/>
        </w:rPr>
        <w:t>提供有力支撑。</w:t>
      </w:r>
      <w:r>
        <w:rPr>
          <w:rFonts w:ascii="Times New Roman" w:hAnsi="Times New Roman"/>
          <w:b/>
          <w:szCs w:val="32"/>
        </w:rPr>
        <w:t>实施更加积极有效的财政政策</w:t>
      </w:r>
      <w:r>
        <w:rPr>
          <w:rFonts w:ascii="Times New Roman" w:hAnsi="Times New Roman"/>
          <w:szCs w:val="32"/>
        </w:rPr>
        <w:t>，继续推动减税、清费、降负政策，支持以更有质量的发展来涵养税源、厚植税基；坚持科学征管、公平税负，加强重点税源监控，不</w:t>
      </w:r>
      <w:r>
        <w:rPr>
          <w:rFonts w:ascii="Times New Roman" w:hAnsi="Times New Roman"/>
          <w:kern w:val="0"/>
          <w:szCs w:val="32"/>
        </w:rPr>
        <w:t>断夯实依法征收的制度基础、规范执收的工作基础、应收尽收的征管基础；2017年，全市一般公共预算收入完成930亿元，增长6.3%，</w:t>
      </w:r>
      <w:r>
        <w:rPr>
          <w:rFonts w:hint="eastAsia" w:ascii="Times New Roman" w:hAnsi="Times New Roman"/>
          <w:kern w:val="0"/>
          <w:szCs w:val="32"/>
        </w:rPr>
        <w:t>总量</w:t>
      </w:r>
      <w:r>
        <w:rPr>
          <w:rFonts w:ascii="Times New Roman" w:hAnsi="Times New Roman"/>
          <w:kern w:val="0"/>
          <w:szCs w:val="32"/>
        </w:rPr>
        <w:t>列全省第</w:t>
      </w:r>
      <w:r>
        <w:rPr>
          <w:rFonts w:hint="eastAsia" w:ascii="Times New Roman" w:hAnsi="Times New Roman"/>
          <w:kern w:val="0"/>
          <w:szCs w:val="32"/>
        </w:rPr>
        <w:t>三</w:t>
      </w:r>
      <w:r>
        <w:rPr>
          <w:rFonts w:ascii="Times New Roman" w:hAnsi="Times New Roman"/>
          <w:kern w:val="0"/>
          <w:szCs w:val="32"/>
        </w:rPr>
        <w:t>位，收入质量进一步提升，税收占比</w:t>
      </w:r>
      <w:r>
        <w:rPr>
          <w:rFonts w:hint="eastAsia" w:ascii="Times New Roman" w:hAnsi="Times New Roman"/>
          <w:kern w:val="0"/>
          <w:szCs w:val="32"/>
        </w:rPr>
        <w:t>提高到</w:t>
      </w:r>
      <w:r>
        <w:rPr>
          <w:rFonts w:ascii="Times New Roman" w:hAnsi="Times New Roman"/>
          <w:kern w:val="0"/>
          <w:szCs w:val="32"/>
        </w:rPr>
        <w:t>8</w:t>
      </w:r>
      <w:r>
        <w:rPr>
          <w:rFonts w:hint="eastAsia" w:ascii="Times New Roman" w:hAnsi="Times New Roman"/>
          <w:kern w:val="0"/>
          <w:szCs w:val="32"/>
        </w:rPr>
        <w:t>0.9</w:t>
      </w:r>
      <w:r>
        <w:rPr>
          <w:rFonts w:ascii="Times New Roman" w:hAnsi="Times New Roman"/>
          <w:kern w:val="0"/>
          <w:szCs w:val="32"/>
        </w:rPr>
        <w:t>%。</w:t>
      </w:r>
      <w:r>
        <w:rPr>
          <w:rFonts w:ascii="Times New Roman" w:hAnsi="Times New Roman"/>
          <w:b/>
          <w:color w:val="111111"/>
          <w:kern w:val="0"/>
          <w:szCs w:val="21"/>
        </w:rPr>
        <w:t>加强财政保障和优化支出结构，</w:t>
      </w:r>
      <w:r>
        <w:rPr>
          <w:rFonts w:ascii="Times New Roman" w:hAnsi="Times New Roman"/>
          <w:szCs w:val="32"/>
        </w:rPr>
        <w:t>根据全口径支出的特点，完善分类保障政策，压缩一般性支出，去除低效无效支出，通过发展类提绩效、城维类补短板、建设类保重点，不断优化调整支出结构，集中财力保民生、补短板；进一步硬化预算约束，坚持问题导向，围绕预算编制、支出执行、使用绩效等预算管理的重点、难点环节，实施部门预算管理质量考核，提高财政资金管理效益。根据财政部相关口径，2017年，全市民生支出占一般公共预算支出的</w:t>
      </w:r>
      <w:r>
        <w:rPr>
          <w:rFonts w:hint="eastAsia" w:ascii="Times New Roman" w:hAnsi="Times New Roman"/>
          <w:szCs w:val="32"/>
        </w:rPr>
        <w:t>比重达到</w:t>
      </w:r>
      <w:r>
        <w:rPr>
          <w:rFonts w:ascii="Times New Roman" w:hAnsi="Times New Roman"/>
          <w:szCs w:val="32"/>
        </w:rPr>
        <w:t>80%</w:t>
      </w:r>
      <w:r>
        <w:rPr>
          <w:rFonts w:hint="eastAsia" w:ascii="Times New Roman" w:hAnsi="Times New Roman"/>
          <w:szCs w:val="32"/>
        </w:rPr>
        <w:t>左右</w:t>
      </w:r>
      <w:r>
        <w:rPr>
          <w:rFonts w:ascii="Times New Roman" w:hAnsi="Times New Roman"/>
          <w:szCs w:val="32"/>
        </w:rPr>
        <w:t>，比上年</w:t>
      </w:r>
      <w:r>
        <w:rPr>
          <w:rFonts w:hint="eastAsia" w:ascii="Times New Roman" w:hAnsi="Times New Roman"/>
          <w:szCs w:val="32"/>
        </w:rPr>
        <w:t>进一步</w:t>
      </w:r>
      <w:r>
        <w:rPr>
          <w:rFonts w:ascii="Times New Roman" w:hAnsi="Times New Roman"/>
          <w:szCs w:val="32"/>
        </w:rPr>
        <w:t>提高1.3个百分点。</w:t>
      </w:r>
    </w:p>
    <w:p>
      <w:pPr>
        <w:tabs>
          <w:tab w:val="left" w:pos="540"/>
          <w:tab w:val="left" w:pos="2600"/>
        </w:tabs>
        <w:adjustRightInd w:val="0"/>
        <w:spacing w:line="560" w:lineRule="exact"/>
        <w:ind w:firstLine="643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4、坚持深化改革、</w:t>
      </w:r>
      <w:r>
        <w:rPr>
          <w:rFonts w:hint="eastAsia" w:ascii="Times New Roman" w:hAnsi="Times New Roman"/>
          <w:b/>
          <w:szCs w:val="32"/>
        </w:rPr>
        <w:t>强化</w:t>
      </w:r>
      <w:r>
        <w:rPr>
          <w:rFonts w:ascii="Times New Roman" w:hAnsi="Times New Roman"/>
          <w:b/>
          <w:szCs w:val="32"/>
        </w:rPr>
        <w:t>管理，财政治理水平不断提升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</w:rPr>
        <w:t>落实预算管理的各项要求，创新与完善生财、聚财、用财、理财、管财</w: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体制机制，有序稳妥推进财政改革相关工作，提高财政政策的针对性和有效性。</w:t>
      </w:r>
      <w:r>
        <w:rPr>
          <w:rFonts w:ascii="Times New Roman" w:hAnsi="Times New Roman"/>
          <w:b/>
        </w:rPr>
        <w:t>调整优化财政体制机制，</w:t>
      </w:r>
      <w:r>
        <w:rPr>
          <w:rFonts w:ascii="Times New Roman" w:hAnsi="Times New Roman"/>
        </w:rPr>
        <w:t>优化市与区财政体制，促进财力下倾、提升区级基本财力保障能力，</w:t>
      </w:r>
      <w:r>
        <w:rPr>
          <w:rFonts w:hint="eastAsia" w:ascii="Times New Roman" w:hAnsi="Times New Roman"/>
        </w:rPr>
        <w:t>2017年对县区一般性和专项转移支付补助财力近60亿元，较上年同口径增长10%以上，占市本级自身财力的比重进一步提高至30%左右；积极推动全市重点工程合作共建，</w:t>
      </w:r>
      <w:r>
        <w:rPr>
          <w:rFonts w:ascii="Times New Roman" w:hAnsi="Times New Roman"/>
        </w:rPr>
        <w:t>在民生基础设施建设、产业转型升级和现代城市治理等领域，探索建立市县区共建共担共享机制。</w:t>
      </w:r>
      <w:r>
        <w:rPr>
          <w:rFonts w:ascii="Times New Roman" w:hAnsi="Times New Roman"/>
          <w:b/>
        </w:rPr>
        <w:t>强化专项资金管理，</w:t>
      </w:r>
      <w:r>
        <w:rPr>
          <w:rFonts w:ascii="Times New Roman" w:hAnsi="Times New Roman"/>
        </w:rPr>
        <w:t>按照“四张清单一张网”建设要求，完善专项资金管理清单，推进专项资金</w:t>
      </w:r>
      <w:r>
        <w:rPr>
          <w:rFonts w:ascii="Times New Roman" w:hAnsi="Times New Roman"/>
          <w:szCs w:val="32"/>
        </w:rPr>
        <w:t>绩效论证从预算论证向政策论证延伸、</w:t>
      </w:r>
      <w:r>
        <w:rPr>
          <w:rFonts w:ascii="Times New Roman" w:hAnsi="Times New Roman"/>
        </w:rPr>
        <w:t>绩效评价从支出评价向政策评价拓展。</w:t>
      </w:r>
      <w:r>
        <w:rPr>
          <w:rFonts w:ascii="Times New Roman" w:hAnsi="Times New Roman"/>
          <w:b/>
        </w:rPr>
        <w:t>扎实推进预决算公开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加快实施人大预算联网监督，</w:t>
      </w:r>
      <w:r>
        <w:rPr>
          <w:rFonts w:ascii="Times New Roman" w:hAnsi="Times New Roman"/>
        </w:rPr>
        <w:t>制定出台进一步推进预决算公开工作的实施细则，推进公开范围全覆盖、公开内容更细化，除保密单位外，</w:t>
      </w:r>
      <w:r>
        <w:rPr>
          <w:rFonts w:ascii="Times New Roman" w:hAnsi="Times New Roman"/>
          <w:szCs w:val="32"/>
        </w:rPr>
        <w:t>市本级90家预算单位全部在规定时限内完成预决算公开</w:t>
      </w:r>
      <w:r>
        <w:rPr>
          <w:rFonts w:ascii="Times New Roman" w:hAnsi="Times New Roman"/>
        </w:rPr>
        <w:t>。</w:t>
      </w:r>
      <w:r>
        <w:rPr>
          <w:rFonts w:ascii="Times New Roman" w:hAnsi="Times New Roman"/>
          <w:b/>
        </w:rPr>
        <w:t>切实加强债务管控力度，</w:t>
      </w:r>
      <w:r>
        <w:rPr>
          <w:rFonts w:ascii="Times New Roman" w:hAnsi="Times New Roman"/>
        </w:rPr>
        <w:t>适应债务管理新常态要求，积极稳妥防范化解地方政府性债务风险，研究推进政府性债务风险应急处置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创新城市建设发展方式，</w:t>
      </w:r>
      <w:r>
        <w:rPr>
          <w:rFonts w:hint="eastAsia" w:ascii="Times New Roman" w:hAnsi="Times New Roman"/>
        </w:rPr>
        <w:t>不断</w:t>
      </w:r>
      <w:r>
        <w:rPr>
          <w:rFonts w:ascii="Times New Roman" w:hAnsi="Times New Roman"/>
        </w:rPr>
        <w:t>加大对上争取力度，市本级累计争取新增和置换债券资金25</w:t>
      </w:r>
      <w:r>
        <w:rPr>
          <w:rFonts w:hint="eastAsia" w:ascii="Times New Roman" w:hAnsi="Times New Roman"/>
        </w:rPr>
        <w:t>8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亿元，平均成本3.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%，每年降低政府</w:t>
      </w:r>
      <w:r>
        <w:rPr>
          <w:rFonts w:hint="eastAsia" w:ascii="Times New Roman" w:hAnsi="Times New Roman"/>
        </w:rPr>
        <w:t>债务</w:t>
      </w:r>
      <w:r>
        <w:rPr>
          <w:rFonts w:ascii="Times New Roman" w:hAnsi="Times New Roman"/>
        </w:rPr>
        <w:t>成本约10亿元。</w:t>
      </w:r>
      <w:r>
        <w:rPr>
          <w:rFonts w:ascii="Times New Roman" w:hAnsi="Times New Roman"/>
          <w:b/>
        </w:rPr>
        <w:t>不断提升财税服务质效，</w:t>
      </w:r>
      <w:r>
        <w:rPr>
          <w:rFonts w:ascii="Times New Roman" w:hAnsi="Times New Roman"/>
          <w:kern w:val="0"/>
          <w:szCs w:val="32"/>
        </w:rPr>
        <w:t>健全与人大代表、政协委员沟通服务长效机制，寄送财政工作征求意见建议函1800余封，积极听取和吸纳代表委员提出的意见建议；认真承办</w:t>
      </w:r>
      <w:r>
        <w:rPr>
          <w:rFonts w:ascii="Times New Roman" w:hAnsi="Times New Roman"/>
          <w:szCs w:val="32"/>
        </w:rPr>
        <w:t>人大代表和政协委员提出的建议提案8</w:t>
      </w:r>
      <w:r>
        <w:rPr>
          <w:rFonts w:hint="eastAsia" w:ascii="Times New Roman" w:hAnsi="Times New Roman"/>
          <w:szCs w:val="32"/>
        </w:rPr>
        <w:t>2</w:t>
      </w:r>
      <w:r>
        <w:rPr>
          <w:rFonts w:ascii="Times New Roman" w:hAnsi="Times New Roman"/>
          <w:szCs w:val="32"/>
        </w:rPr>
        <w:t>件，全部按时办理完毕，主办件达到见面率、办结率、满意率三个100%。</w:t>
      </w:r>
    </w:p>
    <w:p>
      <w:pPr>
        <w:adjustRightInd w:val="0"/>
        <w:spacing w:line="560" w:lineRule="exact"/>
        <w:ind w:firstLine="640"/>
        <w:jc w:val="left"/>
        <w:rPr>
          <w:rFonts w:ascii="Times New Roman" w:hAnsi="Times New Roman"/>
          <w:color w:val="111111"/>
          <w:kern w:val="0"/>
          <w:szCs w:val="21"/>
        </w:rPr>
      </w:pPr>
      <w:r>
        <w:rPr>
          <w:rFonts w:ascii="Times New Roman" w:hAnsi="Times New Roman"/>
          <w:color w:val="111111"/>
          <w:kern w:val="0"/>
          <w:szCs w:val="21"/>
        </w:rPr>
        <w:t>各位代表，过去的一年，我市财政运行总体平稳，财政各项政策得到有效落实，财政改革发展取得新进展，这是市委科学决策、坚强领导的结果，是人大、政协及代表委员们监督指导、大力支持的结果，也是全市人民齐心协力、团结拼搏的结果。</w:t>
      </w:r>
    </w:p>
    <w:p>
      <w:pPr>
        <w:adjustRightInd w:val="0"/>
        <w:spacing w:line="560" w:lineRule="exact"/>
        <w:ind w:firstLine="640"/>
        <w:jc w:val="left"/>
        <w:rPr>
          <w:rFonts w:ascii="Times New Roman" w:hAnsi="Times New Roman"/>
          <w:color w:val="111111"/>
          <w:kern w:val="0"/>
          <w:szCs w:val="21"/>
        </w:rPr>
      </w:pPr>
      <w:r>
        <w:rPr>
          <w:rFonts w:ascii="Times New Roman" w:hAnsi="Times New Roman"/>
          <w:color w:val="111111"/>
          <w:kern w:val="0"/>
          <w:szCs w:val="21"/>
        </w:rPr>
        <w:t>在看到成绩的同时，我们也清醒地认识到，新时期财税工作还面临很多矛盾和挑战：一是在经济新常态背景下，受经济</w:t>
      </w:r>
      <w:r>
        <w:rPr>
          <w:rFonts w:hint="eastAsia" w:ascii="Times New Roman" w:hAnsi="Times New Roman"/>
          <w:color w:val="111111"/>
          <w:kern w:val="0"/>
          <w:szCs w:val="21"/>
        </w:rPr>
        <w:t>发展方式转变</w:t>
      </w:r>
      <w:r>
        <w:rPr>
          <w:rFonts w:ascii="Times New Roman" w:hAnsi="Times New Roman"/>
          <w:color w:val="111111"/>
          <w:kern w:val="0"/>
          <w:szCs w:val="21"/>
        </w:rPr>
        <w:t>及减税</w:t>
      </w:r>
      <w:r>
        <w:rPr>
          <w:rFonts w:hint="eastAsia" w:ascii="Times New Roman" w:hAnsi="Times New Roman"/>
          <w:color w:val="111111"/>
          <w:kern w:val="0"/>
          <w:szCs w:val="21"/>
        </w:rPr>
        <w:t>清费降负</w:t>
      </w:r>
      <w:r>
        <w:rPr>
          <w:rFonts w:ascii="Times New Roman" w:hAnsi="Times New Roman"/>
          <w:color w:val="111111"/>
          <w:kern w:val="0"/>
          <w:szCs w:val="21"/>
        </w:rPr>
        <w:t>等因素影响，</w:t>
      </w:r>
      <w:r>
        <w:rPr>
          <w:rFonts w:ascii="Times New Roman" w:hAnsi="Times New Roman"/>
          <w:kern w:val="0"/>
          <w:szCs w:val="32"/>
        </w:rPr>
        <w:t>全口径视角下的财源建设仍需深化，</w:t>
      </w:r>
      <w:r>
        <w:rPr>
          <w:rFonts w:ascii="Times New Roman" w:hAnsi="Times New Roman"/>
          <w:color w:val="111111"/>
          <w:kern w:val="0"/>
          <w:szCs w:val="21"/>
        </w:rPr>
        <w:t>短期内财税增收的难度仍然较大；二是财政刚性支出不断增大，继续实施积极的财政政策，促进经济转型升级、保民生惠民生等，都需要大量的资金投入，财政统筹平衡压力不断加大；三是财政逆周期调节和贯彻新发展理念的职能有待进一步发挥，科学规范的支出标准体系、强而有力的预算约束体系和全面</w:t>
      </w:r>
      <w:r>
        <w:rPr>
          <w:rFonts w:hint="eastAsia" w:ascii="Times New Roman" w:hAnsi="Times New Roman"/>
          <w:color w:val="111111"/>
          <w:kern w:val="0"/>
          <w:szCs w:val="21"/>
        </w:rPr>
        <w:t>有效</w:t>
      </w:r>
      <w:r>
        <w:rPr>
          <w:rFonts w:ascii="Times New Roman" w:hAnsi="Times New Roman"/>
          <w:color w:val="111111"/>
          <w:kern w:val="0"/>
          <w:szCs w:val="21"/>
        </w:rPr>
        <w:t>的绩效管理体系尚需</w:t>
      </w:r>
      <w:r>
        <w:rPr>
          <w:rFonts w:hint="eastAsia" w:ascii="Times New Roman" w:hAnsi="Times New Roman"/>
          <w:color w:val="111111"/>
          <w:kern w:val="0"/>
          <w:szCs w:val="21"/>
        </w:rPr>
        <w:t>构建完善</w:t>
      </w:r>
      <w:r>
        <w:rPr>
          <w:rFonts w:ascii="Times New Roman" w:hAnsi="Times New Roman"/>
          <w:color w:val="111111"/>
          <w:kern w:val="0"/>
          <w:szCs w:val="21"/>
        </w:rPr>
        <w:t>，财政事权与支出责任改革有待深入推进。</w:t>
      </w:r>
      <w:r>
        <w:rPr>
          <w:rFonts w:ascii="Times New Roman" w:hAnsi="Times New Roman"/>
          <w:kern w:val="0"/>
          <w:szCs w:val="32"/>
        </w:rPr>
        <w:t>对于这些矛盾和挑战，我们将高度重视、</w:t>
      </w:r>
      <w:r>
        <w:rPr>
          <w:rFonts w:hint="eastAsia" w:ascii="Times New Roman" w:hAnsi="Times New Roman"/>
          <w:kern w:val="0"/>
          <w:szCs w:val="32"/>
        </w:rPr>
        <w:t>勇于担当</w:t>
      </w:r>
      <w:r>
        <w:rPr>
          <w:rFonts w:ascii="Times New Roman" w:hAnsi="Times New Roman"/>
          <w:kern w:val="0"/>
          <w:szCs w:val="32"/>
        </w:rPr>
        <w:t>，积极探索和采取有力措施，在今后工作中努力加以解决。</w:t>
      </w:r>
    </w:p>
    <w:p>
      <w:pPr>
        <w:adjustRightInd w:val="0"/>
        <w:spacing w:line="56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二、2018年预算草案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根据《中华人民共和国预算法》、《国务院关于深化预算管理制度改革的意见》、《市政府关于编制2018年市本级预算的通知》等文件精神，结合我市实际情况，从2017年8月份起，在市人大财经委的监督指导下，我市启动了2018年市本级预算编制工作</w:t>
      </w:r>
      <w:r>
        <w:rPr>
          <w:rFonts w:hint="eastAsia" w:ascii="Times New Roman" w:hAnsi="Times New Roman"/>
          <w:kern w:val="0"/>
          <w:szCs w:val="32"/>
        </w:rPr>
        <w:t>。</w:t>
      </w:r>
      <w:r>
        <w:rPr>
          <w:rFonts w:ascii="Times New Roman" w:hAnsi="Times New Roman"/>
          <w:kern w:val="0"/>
          <w:szCs w:val="32"/>
        </w:rPr>
        <w:t>经过预算布置、</w:t>
      </w:r>
      <w:r>
        <w:rPr>
          <w:rFonts w:hint="eastAsia" w:ascii="Times New Roman" w:hAnsi="Times New Roman"/>
          <w:kern w:val="0"/>
          <w:szCs w:val="32"/>
        </w:rPr>
        <w:t>部门</w:t>
      </w:r>
      <w:r>
        <w:rPr>
          <w:rFonts w:ascii="Times New Roman" w:hAnsi="Times New Roman"/>
          <w:kern w:val="0"/>
          <w:szCs w:val="32"/>
        </w:rPr>
        <w:t>申报、财政初审、绩效论证、人大专家审查和和</w:t>
      </w:r>
      <w:r>
        <w:rPr>
          <w:rFonts w:hint="eastAsia" w:ascii="Times New Roman" w:hAnsi="Times New Roman"/>
          <w:kern w:val="0"/>
          <w:szCs w:val="32"/>
        </w:rPr>
        <w:t>人大</w:t>
      </w:r>
      <w:r>
        <w:rPr>
          <w:rFonts w:ascii="Times New Roman" w:hAnsi="Times New Roman"/>
          <w:kern w:val="0"/>
          <w:szCs w:val="32"/>
        </w:rPr>
        <w:t>主任会议审议、市政府常务会议和市委常委会审议等程序，业已编制完成，现提交本次会议审议。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kern w:val="0"/>
          <w:szCs w:val="32"/>
        </w:rPr>
      </w:pPr>
      <w:r>
        <w:rPr>
          <w:rFonts w:hint="eastAsia" w:ascii="Times New Roman" w:hAnsi="Times New Roman"/>
          <w:kern w:val="0"/>
          <w:szCs w:val="32"/>
        </w:rPr>
        <w:t>同时，</w:t>
      </w:r>
      <w:r>
        <w:rPr>
          <w:rFonts w:ascii="Times New Roman" w:hAnsi="Times New Roman"/>
          <w:kern w:val="0"/>
          <w:szCs w:val="32"/>
        </w:rPr>
        <w:t>根据《预算法》规定和我市实际</w:t>
      </w:r>
      <w:r>
        <w:rPr>
          <w:rFonts w:hint="eastAsia" w:ascii="Times New Roman" w:hAnsi="Times New Roman"/>
          <w:kern w:val="0"/>
          <w:szCs w:val="32"/>
        </w:rPr>
        <w:t>情况</w:t>
      </w:r>
      <w:r>
        <w:rPr>
          <w:rFonts w:ascii="Times New Roman" w:hAnsi="Times New Roman"/>
          <w:kern w:val="0"/>
          <w:szCs w:val="32"/>
        </w:rPr>
        <w:t>，在</w:t>
      </w:r>
      <w:r>
        <w:rPr>
          <w:rFonts w:hint="eastAsia" w:ascii="Times New Roman" w:hAnsi="Times New Roman"/>
          <w:kern w:val="0"/>
          <w:szCs w:val="32"/>
        </w:rPr>
        <w:t>市人大财经委审查之后、市</w:t>
      </w:r>
      <w:r>
        <w:rPr>
          <w:rFonts w:ascii="Times New Roman" w:hAnsi="Times New Roman"/>
          <w:kern w:val="0"/>
          <w:szCs w:val="32"/>
        </w:rPr>
        <w:t>人代会正式批准之前，预下了部分必须保障的运转性和专项支出预算，其中一般公共预算</w:t>
      </w:r>
      <w:r>
        <w:rPr>
          <w:rFonts w:hint="eastAsia" w:ascii="Times New Roman" w:hAnsi="Times New Roman"/>
          <w:kern w:val="0"/>
          <w:szCs w:val="32"/>
        </w:rPr>
        <w:t>66.6</w:t>
      </w:r>
      <w:r>
        <w:rPr>
          <w:rFonts w:ascii="Times New Roman" w:hAnsi="Times New Roman"/>
          <w:kern w:val="0"/>
          <w:szCs w:val="32"/>
        </w:rPr>
        <w:t>亿元，</w:t>
      </w:r>
      <w:r>
        <w:rPr>
          <w:rFonts w:hint="eastAsia" w:ascii="Times New Roman" w:hAnsi="Times New Roman"/>
          <w:kern w:val="0"/>
          <w:szCs w:val="32"/>
        </w:rPr>
        <w:t>政府性基金预算1.5亿元，社会保险</w:t>
      </w:r>
      <w:r>
        <w:rPr>
          <w:rFonts w:ascii="Times New Roman" w:hAnsi="Times New Roman"/>
          <w:kern w:val="0"/>
          <w:szCs w:val="32"/>
        </w:rPr>
        <w:t>基金预算</w:t>
      </w:r>
      <w:r>
        <w:rPr>
          <w:rFonts w:hint="eastAsia" w:ascii="Times New Roman" w:hAnsi="Times New Roman"/>
          <w:kern w:val="0"/>
          <w:szCs w:val="32"/>
        </w:rPr>
        <w:t>62.8</w:t>
      </w:r>
      <w:r>
        <w:rPr>
          <w:rFonts w:ascii="Times New Roman" w:hAnsi="Times New Roman"/>
          <w:kern w:val="0"/>
          <w:szCs w:val="32"/>
        </w:rPr>
        <w:t>亿元。</w:t>
      </w:r>
    </w:p>
    <w:p>
      <w:pPr>
        <w:adjustRightInd w:val="0"/>
        <w:spacing w:line="560" w:lineRule="exact"/>
        <w:ind w:firstLine="640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（一）2018年预算编制面临的总体形势</w:t>
      </w:r>
    </w:p>
    <w:p>
      <w:pPr>
        <w:tabs>
          <w:tab w:val="left" w:pos="540"/>
          <w:tab w:val="left" w:pos="2600"/>
        </w:tabs>
        <w:adjustRightInd w:val="0"/>
        <w:spacing w:line="560" w:lineRule="exact"/>
        <w:ind w:firstLine="64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szCs w:val="32"/>
        </w:rPr>
        <w:t>2018年是贯彻党的十九大精神的开局之年，是改革开放40周年，是决胜</w:t>
      </w:r>
      <w:r>
        <w:rPr>
          <w:rFonts w:hint="eastAsia" w:ascii="Times New Roman" w:hAnsi="Times New Roman"/>
          <w:szCs w:val="32"/>
        </w:rPr>
        <w:t>高水平</w:t>
      </w:r>
      <w:r>
        <w:rPr>
          <w:rFonts w:ascii="Times New Roman" w:hAnsi="Times New Roman"/>
          <w:szCs w:val="32"/>
        </w:rPr>
        <w:t>全面建成小康社会、实施“十三五”规划</w:t>
      </w:r>
      <w:r>
        <w:rPr>
          <w:rFonts w:hint="eastAsia" w:ascii="Times New Roman" w:hAnsi="Times New Roman"/>
          <w:szCs w:val="32"/>
        </w:rPr>
        <w:t>承上启下</w:t>
      </w:r>
      <w:r>
        <w:rPr>
          <w:rFonts w:ascii="Times New Roman" w:hAnsi="Times New Roman"/>
          <w:szCs w:val="32"/>
        </w:rPr>
        <w:t>的关键一年。</w:t>
      </w:r>
      <w:r>
        <w:rPr>
          <w:rFonts w:ascii="Times New Roman" w:hAnsi="Times New Roman"/>
          <w:kern w:val="0"/>
          <w:szCs w:val="32"/>
        </w:rPr>
        <w:t>我市财税经济形势依然复杂，财税改革任务依然艰巨，</w:t>
      </w:r>
      <w:r>
        <w:rPr>
          <w:rFonts w:hint="eastAsia" w:ascii="Times New Roman" w:hAnsi="Times New Roman"/>
          <w:kern w:val="0"/>
          <w:szCs w:val="32"/>
        </w:rPr>
        <w:t>财政</w:t>
      </w:r>
      <w:r>
        <w:rPr>
          <w:rFonts w:ascii="Times New Roman" w:hAnsi="Times New Roman"/>
          <w:kern w:val="0"/>
          <w:szCs w:val="32"/>
        </w:rPr>
        <w:t>收支平衡矛盾依然突出。</w:t>
      </w:r>
    </w:p>
    <w:p>
      <w:pPr>
        <w:tabs>
          <w:tab w:val="left" w:pos="540"/>
          <w:tab w:val="left" w:pos="2600"/>
        </w:tabs>
        <w:adjustRightInd w:val="0"/>
        <w:spacing w:line="560" w:lineRule="exact"/>
        <w:ind w:firstLine="643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b/>
          <w:bCs/>
          <w:szCs w:val="32"/>
        </w:rPr>
        <w:t>从地方经济社会发展的政策面来看，预期宏观政策保持总体稳定、新形势新方略提出了更全面要求。</w:t>
      </w:r>
      <w:r>
        <w:rPr>
          <w:rFonts w:ascii="Times New Roman" w:hAnsi="Times New Roman"/>
          <w:szCs w:val="32"/>
        </w:rPr>
        <w:t>党的十九大指出，我国正处于转变发展方式、优化经济结构、转换增长动力的攻关期，要着力构建市场经济有效、微观主体有活力、宏观调控有度的经济体制，突出抓重点、补短板、强弱项，特别是要坚决打好防范化解重大风险、精准脱贫、污染防治的攻坚战。预期2018年将继续实施积极的财政政策和稳健的货币政策，防范地方政府债务风险的力度不断加大。对地方而言，积极的财政政策将集中体现为“减税清费降负”和“促进经济发展”，适度从紧的货币政策将突出体现为对地方政府债务的“限额控制”和“风险防范”，同时政策增支需求将进一步扩大，对地方政府提出了更高、更全面的要求。</w:t>
      </w:r>
    </w:p>
    <w:p>
      <w:pPr>
        <w:adjustRightInd w:val="0"/>
        <w:spacing w:line="560" w:lineRule="exact"/>
        <w:ind w:firstLine="643"/>
        <w:rPr>
          <w:rFonts w:ascii="Times New Roman" w:hAnsi="Times New Roman"/>
          <w:szCs w:val="32"/>
        </w:rPr>
      </w:pPr>
      <w:r>
        <w:rPr>
          <w:rFonts w:ascii="Times New Roman" w:hAnsi="Times New Roman"/>
          <w:b/>
          <w:kern w:val="0"/>
          <w:szCs w:val="32"/>
        </w:rPr>
        <w:t>从我市财税经济增长的基本面来看，</w:t>
      </w:r>
      <w:r>
        <w:rPr>
          <w:rFonts w:ascii="Times New Roman" w:hAnsi="Times New Roman"/>
          <w:b/>
          <w:bCs/>
          <w:szCs w:val="32"/>
        </w:rPr>
        <w:t>经济发展积极态势正在形成、预算收入将呈现“三增一平”态势。</w:t>
      </w:r>
      <w:r>
        <w:rPr>
          <w:rFonts w:ascii="Times New Roman" w:hAnsi="Times New Roman"/>
          <w:kern w:val="0"/>
          <w:szCs w:val="32"/>
        </w:rPr>
        <w:t>2015年以来，随着全市上下深入推进供给侧结构性改革、扎实推进产业强市步伐，全市经济呈现出总量规模扩大、增加值提高、企业效益向好、房地产市场较快发展的积极态势。但与此同时，原材料价格上涨、人民币汇率升值、房地产调控加码、金融风险防控力度加大等新情况也对我市经济持续、稳定发展带来了新的挑战。</w:t>
      </w:r>
      <w:r>
        <w:rPr>
          <w:rFonts w:ascii="Times New Roman" w:hAnsi="Times New Roman"/>
          <w:szCs w:val="32"/>
        </w:rPr>
        <w:t>随着全面“营改增”改革、进一步简并税率，城市公用附加、新型墙体材料等专项基金收入和行政事业性收费取消，部分社保基金项目阶段性降低费率，减税清费的减收效应与经济发展的增收效应相互作用、互有消长。基于以上判断，预期</w:t>
      </w:r>
      <w:r>
        <w:rPr>
          <w:rFonts w:ascii="Times New Roman" w:hAnsi="Times New Roman"/>
          <w:kern w:val="0"/>
          <w:szCs w:val="32"/>
        </w:rPr>
        <w:t>2018年全市经济总体上将保持“稳中有进、进中向好、结构调整、动能转化”的发展态势；</w:t>
      </w:r>
      <w:r>
        <w:rPr>
          <w:rFonts w:ascii="Times New Roman" w:hAnsi="Times New Roman"/>
          <w:szCs w:val="32"/>
        </w:rPr>
        <w:t>全市一般公共预算收入、</w:t>
      </w:r>
      <w:r>
        <w:rPr>
          <w:rFonts w:hint="eastAsia" w:ascii="Times New Roman" w:hAnsi="Times New Roman"/>
          <w:szCs w:val="32"/>
        </w:rPr>
        <w:t>社会保险</w:t>
      </w:r>
      <w:r>
        <w:rPr>
          <w:rFonts w:ascii="Times New Roman" w:hAnsi="Times New Roman"/>
          <w:szCs w:val="32"/>
        </w:rPr>
        <w:t>基金收入、国有资本经营预算收入将与地区经济增长基本同步，以土地出让收入为主的政府性基金</w:t>
      </w:r>
      <w:r>
        <w:rPr>
          <w:rFonts w:hint="eastAsia" w:ascii="Times New Roman" w:hAnsi="Times New Roman"/>
          <w:szCs w:val="32"/>
        </w:rPr>
        <w:t>预算收入</w:t>
      </w:r>
      <w:r>
        <w:rPr>
          <w:rFonts w:ascii="Times New Roman" w:hAnsi="Times New Roman"/>
          <w:szCs w:val="32"/>
        </w:rPr>
        <w:t>将呈现前高后低、总量持平的变化态势。</w:t>
      </w:r>
    </w:p>
    <w:p>
      <w:pPr>
        <w:adjustRightInd w:val="0"/>
        <w:spacing w:line="560" w:lineRule="exact"/>
        <w:ind w:firstLine="643"/>
        <w:rPr>
          <w:rFonts w:ascii="Times New Roman" w:hAnsi="Times New Roman"/>
          <w:szCs w:val="32"/>
        </w:rPr>
      </w:pPr>
      <w:r>
        <w:rPr>
          <w:rFonts w:ascii="Times New Roman" w:hAnsi="Times New Roman"/>
          <w:b/>
          <w:kern w:val="0"/>
          <w:szCs w:val="32"/>
        </w:rPr>
        <w:t>从市本级预算收支的平衡面来看，</w:t>
      </w:r>
      <w:r>
        <w:rPr>
          <w:rFonts w:ascii="Times New Roman" w:hAnsi="Times New Roman"/>
          <w:b/>
          <w:bCs/>
          <w:szCs w:val="32"/>
        </w:rPr>
        <w:t>财政“弱收强支”矛盾依然突出、预算改革进入了新的历史阶段。</w:t>
      </w:r>
      <w:r>
        <w:rPr>
          <w:rFonts w:ascii="Times New Roman" w:hAnsi="Times New Roman"/>
          <w:szCs w:val="32"/>
        </w:rPr>
        <w:t>按照党的十九大提出的突出“抓重点、补短板、强弱项”的要求，2018年要进一步加大对精准脱贫、教育医疗、文化建设、生态保护、债务化解、企业减负的财政供给力度，全面保障市委、市政府已经决策的全市性重大基础设施和重点</w:t>
      </w:r>
      <w:r>
        <w:rPr>
          <w:rFonts w:hint="eastAsia" w:ascii="Times New Roman" w:hAnsi="Times New Roman"/>
          <w:szCs w:val="32"/>
        </w:rPr>
        <w:t>民生</w:t>
      </w:r>
      <w:r>
        <w:rPr>
          <w:rFonts w:ascii="Times New Roman" w:hAnsi="Times New Roman"/>
          <w:szCs w:val="32"/>
        </w:rPr>
        <w:t>项目投资支出需求，财政支出进一步呈现出规模大、刚性强、基数高的增长态势，财政“弱收强支”的矛盾依然突出。与此同时，按照党的十九大“建立全面规范透明、标准科学、约束有力的预算制度”的要求，未来的预算管理需要从程序性、框架性的“软约束”阶段向实质性、强制性的“硬约束”阶段转变，迫切需要进一步加强专项资金预算标准设计、落实预决算信息公开要求，强化预算支出责任落实、严肃预算单位绩效问责，通过行之有效的制度举措促进预算绩效提高和跨年度预算平衡。</w:t>
      </w:r>
    </w:p>
    <w:p>
      <w:pPr>
        <w:adjustRightInd w:val="0"/>
        <w:spacing w:line="560" w:lineRule="exact"/>
        <w:ind w:firstLine="640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（二）2018年预算安排的指导思想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根据2018年全市经济社会发展目标、国家宏观调控总体要求和财税经济形势分析，</w:t>
      </w:r>
      <w:r>
        <w:rPr>
          <w:rFonts w:ascii="Times New Roman" w:hAnsi="Times New Roman"/>
          <w:b/>
          <w:szCs w:val="32"/>
        </w:rPr>
        <w:t>我市2018年财政预算安排的指导思想是：</w:t>
      </w:r>
      <w:r>
        <w:rPr>
          <w:rFonts w:ascii="Times New Roman" w:hAnsi="Times New Roman"/>
          <w:szCs w:val="32"/>
        </w:rPr>
        <w:t>深入学习贯彻党的十九大精神，以习近平新时代中国特色社会主义思想为指导，</w:t>
      </w:r>
      <w:r>
        <w:rPr>
          <w:rFonts w:hint="eastAsia" w:ascii="Times New Roman" w:hAnsi="Times New Roman"/>
          <w:szCs w:val="32"/>
        </w:rPr>
        <w:t>认真贯彻落实中央经济工作会议和省委</w:t>
      </w:r>
      <w:r>
        <w:rPr>
          <w:rFonts w:ascii="Times New Roman" w:hAnsi="Times New Roman"/>
          <w:kern w:val="0"/>
          <w:szCs w:val="32"/>
        </w:rPr>
        <w:t>十三届三次全会、市委第十三届五次全会</w:t>
      </w:r>
      <w:r>
        <w:rPr>
          <w:rFonts w:hint="eastAsia" w:ascii="Times New Roman" w:hAnsi="Times New Roman"/>
          <w:kern w:val="0"/>
          <w:szCs w:val="32"/>
        </w:rPr>
        <w:t>精神，</w:t>
      </w:r>
      <w:r>
        <w:rPr>
          <w:rFonts w:ascii="Times New Roman" w:hAnsi="Times New Roman"/>
          <w:szCs w:val="32"/>
        </w:rPr>
        <w:t>坚持稳中求进工作总基调，自觉践行新发展理念，</w:t>
      </w:r>
      <w:r>
        <w:rPr>
          <w:rFonts w:hint="eastAsia" w:ascii="Times New Roman" w:hAnsi="Times New Roman"/>
          <w:szCs w:val="32"/>
        </w:rPr>
        <w:t>统筹推进“五位一体”总体布局和协调推进“四个全面”战略布局，以实现高质量发展为导向，以推进供给侧结构性改革为主线，</w:t>
      </w:r>
      <w:r>
        <w:rPr>
          <w:rFonts w:ascii="Times New Roman" w:hAnsi="Times New Roman"/>
          <w:szCs w:val="32"/>
        </w:rPr>
        <w:t>进一步落实积极的财政政策，</w:t>
      </w:r>
      <w:r>
        <w:rPr>
          <w:rFonts w:hint="eastAsia" w:ascii="Times New Roman" w:hAnsi="Times New Roman"/>
          <w:szCs w:val="32"/>
        </w:rPr>
        <w:t>着力推动质量、效率、动力三大变革，</w:t>
      </w:r>
      <w:r>
        <w:rPr>
          <w:rFonts w:ascii="Times New Roman" w:hAnsi="Times New Roman"/>
          <w:szCs w:val="32"/>
        </w:rPr>
        <w:t>努力保持财政收入持续稳定增长，为更好地满足人民日益增长的美好生活需要奠定财力基础；进一步深化财税体制改革，</w:t>
      </w:r>
      <w:r>
        <w:rPr>
          <w:rFonts w:hint="eastAsia" w:ascii="Times New Roman" w:hAnsi="Times New Roman"/>
          <w:szCs w:val="32"/>
        </w:rPr>
        <w:t>聚力创新、聚焦富民，全面做好</w:t>
      </w:r>
      <w:r>
        <w:rPr>
          <w:rFonts w:ascii="Times New Roman" w:hAnsi="Times New Roman"/>
          <w:szCs w:val="32"/>
        </w:rPr>
        <w:t>稳增长、促改革、调结构、惠民生、防风险各项工作；进一步促进财力分配、事权划分和支出责任相适应、“预钱”与“预事”相统一、财税改革与其他改革相协调，为高水平全面建成小康社会、建设“强富美高”新无锡提供更加有力的财政支撑。</w:t>
      </w:r>
    </w:p>
    <w:p>
      <w:pPr>
        <w:adjustRightInd w:val="0"/>
        <w:spacing w:line="560" w:lineRule="exact"/>
        <w:ind w:firstLine="640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（三）一般公共预算草案</w:t>
      </w:r>
    </w:p>
    <w:p>
      <w:pPr>
        <w:tabs>
          <w:tab w:val="left" w:pos="540"/>
          <w:tab w:val="left" w:pos="2600"/>
        </w:tabs>
        <w:adjustRightInd w:val="0"/>
        <w:spacing w:line="560" w:lineRule="exact"/>
        <w:ind w:firstLine="643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1．全市一般公共预算草案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根据当前我市经济发展的基本面、供给侧结构性改革降本减负清费的政策面，以及税源结构变化过程中收入组织的技术面等因素，2018年，全市一般公共预算收入预期目标为990亿元左右，增幅6.5%左右；全市一般公共预算支出</w:t>
      </w:r>
      <w:r>
        <w:rPr>
          <w:rFonts w:hint="eastAsia" w:ascii="Times New Roman" w:hAnsi="Times New Roman"/>
          <w:szCs w:val="32"/>
        </w:rPr>
        <w:t>拟</w:t>
      </w:r>
      <w:r>
        <w:rPr>
          <w:rFonts w:ascii="Times New Roman" w:hAnsi="Times New Roman"/>
          <w:szCs w:val="32"/>
        </w:rPr>
        <w:t>安排10</w:t>
      </w:r>
      <w:r>
        <w:rPr>
          <w:rFonts w:hint="eastAsia" w:ascii="Times New Roman" w:hAnsi="Times New Roman"/>
          <w:szCs w:val="32"/>
        </w:rPr>
        <w:t>60</w:t>
      </w:r>
      <w:r>
        <w:rPr>
          <w:rFonts w:ascii="Times New Roman" w:hAnsi="Times New Roman"/>
          <w:szCs w:val="32"/>
        </w:rPr>
        <w:t>亿元左右，增幅</w:t>
      </w:r>
      <w:r>
        <w:rPr>
          <w:rFonts w:hint="eastAsia" w:ascii="Times New Roman" w:hAnsi="Times New Roman"/>
          <w:szCs w:val="32"/>
        </w:rPr>
        <w:t>7.1</w:t>
      </w:r>
      <w:r>
        <w:rPr>
          <w:rFonts w:ascii="Times New Roman" w:hAnsi="Times New Roman"/>
          <w:szCs w:val="32"/>
        </w:rPr>
        <w:t>%左右，当年预算支出通过省市结算财力和调入资金统筹保障。</w:t>
      </w:r>
    </w:p>
    <w:p>
      <w:pPr>
        <w:tabs>
          <w:tab w:val="left" w:pos="540"/>
          <w:tab w:val="left" w:pos="2600"/>
        </w:tabs>
        <w:adjustRightInd w:val="0"/>
        <w:spacing w:line="560" w:lineRule="exact"/>
        <w:ind w:firstLine="643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2．市本级一般公共预算草案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市本级收入预算安排情况。2018年市本级征收的一般公共预算收入预期10</w:t>
      </w:r>
      <w:r>
        <w:rPr>
          <w:rFonts w:hint="eastAsia" w:ascii="Times New Roman" w:hAnsi="Times New Roman"/>
          <w:szCs w:val="32"/>
        </w:rPr>
        <w:t>5</w:t>
      </w:r>
      <w:r>
        <w:rPr>
          <w:rFonts w:ascii="Times New Roman" w:hAnsi="Times New Roman"/>
          <w:szCs w:val="32"/>
        </w:rPr>
        <w:t>亿元，加上中央和省税收返还及转移支付收入、县区上解收入、上年结转收入、一般债券资金收入、预算稳定调节基金收入和调入资金收入等</w:t>
      </w:r>
      <w:r>
        <w:rPr>
          <w:rFonts w:hint="eastAsia" w:ascii="Times New Roman" w:hAnsi="Times New Roman"/>
          <w:szCs w:val="32"/>
        </w:rPr>
        <w:t>274.7</w:t>
      </w:r>
      <w:r>
        <w:rPr>
          <w:rFonts w:ascii="Times New Roman" w:hAnsi="Times New Roman"/>
          <w:szCs w:val="32"/>
        </w:rPr>
        <w:t>亿元，市本级一般公共预算总收入</w:t>
      </w:r>
      <w:r>
        <w:rPr>
          <w:rFonts w:hint="eastAsia" w:ascii="Times New Roman" w:hAnsi="Times New Roman"/>
          <w:szCs w:val="32"/>
        </w:rPr>
        <w:t>379.7</w:t>
      </w:r>
      <w:r>
        <w:rPr>
          <w:rFonts w:ascii="Times New Roman" w:hAnsi="Times New Roman"/>
          <w:szCs w:val="32"/>
        </w:rPr>
        <w:t>亿元</w:t>
      </w:r>
      <w:r>
        <w:rPr>
          <w:rFonts w:hint="eastAsia" w:ascii="Times New Roman" w:hAnsi="Times New Roman"/>
          <w:szCs w:val="32"/>
        </w:rPr>
        <w:t>，剔除债券资金等不可比因素后，同口径比上年增长6.8%。</w:t>
      </w:r>
    </w:p>
    <w:p>
      <w:pPr>
        <w:tabs>
          <w:tab w:val="left" w:pos="540"/>
          <w:tab w:val="left" w:pos="2600"/>
        </w:tabs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市本级支出预算安排情况。上述市本级一般公共预算总</w:t>
      </w:r>
      <w:r>
        <w:rPr>
          <w:rFonts w:hint="eastAsia" w:ascii="Times New Roman" w:hAnsi="Times New Roman"/>
          <w:szCs w:val="32"/>
        </w:rPr>
        <w:t>收入379.7</w:t>
      </w:r>
      <w:r>
        <w:rPr>
          <w:rFonts w:ascii="Times New Roman" w:hAnsi="Times New Roman"/>
          <w:szCs w:val="32"/>
        </w:rPr>
        <w:t>亿元，减去上解中央和省支出、对县区转移支付支出、一般债券资金支出等</w:t>
      </w:r>
      <w:r>
        <w:rPr>
          <w:rFonts w:hint="eastAsia" w:ascii="Times New Roman" w:hAnsi="Times New Roman"/>
          <w:szCs w:val="32"/>
        </w:rPr>
        <w:t>156.2</w:t>
      </w:r>
      <w:r>
        <w:rPr>
          <w:rFonts w:ascii="Times New Roman" w:hAnsi="Times New Roman"/>
          <w:szCs w:val="32"/>
        </w:rPr>
        <w:t>亿元，市本级</w:t>
      </w:r>
      <w:r>
        <w:rPr>
          <w:rFonts w:hint="eastAsia" w:ascii="Times New Roman" w:hAnsi="Times New Roman"/>
          <w:szCs w:val="32"/>
        </w:rPr>
        <w:t>自身收入来源223.5</w:t>
      </w:r>
      <w:r>
        <w:rPr>
          <w:rFonts w:ascii="Times New Roman" w:hAnsi="Times New Roman"/>
          <w:szCs w:val="32"/>
        </w:rPr>
        <w:t>亿元</w:t>
      </w:r>
      <w:r>
        <w:rPr>
          <w:rFonts w:hint="eastAsia" w:ascii="Times New Roman" w:hAnsi="Times New Roman"/>
          <w:szCs w:val="32"/>
        </w:rPr>
        <w:t>，拟全部安排支出，同口径比上年增长10%</w:t>
      </w:r>
      <w:r>
        <w:rPr>
          <w:rFonts w:ascii="Times New Roman" w:hAnsi="Times New Roman"/>
          <w:szCs w:val="32"/>
        </w:rPr>
        <w:t>。</w:t>
      </w:r>
    </w:p>
    <w:p>
      <w:pPr>
        <w:adjustRightInd w:val="0"/>
        <w:spacing w:line="560" w:lineRule="exact"/>
        <w:ind w:firstLine="640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（四）政府性基金预算草案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2018年市本级政府性基金预算总收入</w:t>
      </w:r>
      <w:r>
        <w:rPr>
          <w:rFonts w:hint="eastAsia" w:ascii="Times New Roman" w:hAnsi="Times New Roman"/>
          <w:szCs w:val="32"/>
        </w:rPr>
        <w:t>预期206.3</w:t>
      </w:r>
      <w:r>
        <w:rPr>
          <w:rFonts w:ascii="Times New Roman" w:hAnsi="Times New Roman"/>
          <w:szCs w:val="32"/>
        </w:rPr>
        <w:t>亿元</w:t>
      </w:r>
      <w:r>
        <w:rPr>
          <w:rFonts w:hint="eastAsia" w:ascii="Times New Roman" w:hAnsi="Times New Roman"/>
          <w:szCs w:val="32"/>
        </w:rPr>
        <w:t>，剔除债券资金等不可比因素后，同口径与上年基本持平</w:t>
      </w:r>
      <w:r>
        <w:rPr>
          <w:rFonts w:ascii="Times New Roman" w:hAnsi="Times New Roman"/>
          <w:szCs w:val="32"/>
        </w:rPr>
        <w:t>。其中，国有土地出让三项基金收入安排150亿元，一般项目收入安排6.5亿元，上级补助基金收入</w:t>
      </w:r>
      <w:r>
        <w:rPr>
          <w:rFonts w:hint="eastAsia" w:ascii="Times New Roman" w:hAnsi="Times New Roman"/>
          <w:szCs w:val="32"/>
        </w:rPr>
        <w:t>、</w:t>
      </w:r>
      <w:r>
        <w:rPr>
          <w:rFonts w:ascii="Times New Roman" w:hAnsi="Times New Roman"/>
          <w:szCs w:val="32"/>
        </w:rPr>
        <w:t>专项债券收入</w:t>
      </w:r>
      <w:r>
        <w:rPr>
          <w:rFonts w:hint="eastAsia" w:ascii="Times New Roman" w:hAnsi="Times New Roman"/>
          <w:szCs w:val="32"/>
        </w:rPr>
        <w:t>和</w:t>
      </w:r>
      <w:r>
        <w:rPr>
          <w:rFonts w:ascii="Times New Roman" w:hAnsi="Times New Roman"/>
          <w:szCs w:val="32"/>
        </w:rPr>
        <w:t>上年结转收入</w:t>
      </w:r>
      <w:r>
        <w:rPr>
          <w:rFonts w:hint="eastAsia" w:ascii="Times New Roman" w:hAnsi="Times New Roman"/>
          <w:szCs w:val="32"/>
        </w:rPr>
        <w:t>等</w:t>
      </w:r>
      <w:r>
        <w:rPr>
          <w:rFonts w:ascii="Times New Roman" w:hAnsi="Times New Roman"/>
          <w:szCs w:val="32"/>
        </w:rPr>
        <w:t>安排</w:t>
      </w:r>
      <w:r>
        <w:rPr>
          <w:rFonts w:hint="eastAsia" w:ascii="Times New Roman" w:hAnsi="Times New Roman"/>
          <w:szCs w:val="32"/>
        </w:rPr>
        <w:t>49.8</w:t>
      </w:r>
      <w:r>
        <w:rPr>
          <w:rFonts w:ascii="Times New Roman" w:hAnsi="Times New Roman"/>
          <w:szCs w:val="32"/>
        </w:rPr>
        <w:t>亿元</w:t>
      </w:r>
      <w:r>
        <w:rPr>
          <w:rFonts w:hint="eastAsia" w:ascii="Times New Roman" w:hAnsi="Times New Roman"/>
          <w:szCs w:val="32"/>
        </w:rPr>
        <w:t>。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2018年市本级政府性基金预算支出</w:t>
      </w:r>
      <w:r>
        <w:rPr>
          <w:rFonts w:hint="eastAsia" w:ascii="Times New Roman" w:hAnsi="Times New Roman"/>
          <w:szCs w:val="32"/>
        </w:rPr>
        <w:t>拟</w:t>
      </w:r>
      <w:r>
        <w:rPr>
          <w:rFonts w:ascii="Times New Roman" w:hAnsi="Times New Roman"/>
          <w:szCs w:val="32"/>
        </w:rPr>
        <w:t>安排19</w:t>
      </w:r>
      <w:r>
        <w:rPr>
          <w:rFonts w:hint="eastAsia" w:ascii="Times New Roman" w:hAnsi="Times New Roman"/>
          <w:szCs w:val="32"/>
        </w:rPr>
        <w:t>5.6</w:t>
      </w:r>
      <w:r>
        <w:rPr>
          <w:rFonts w:ascii="Times New Roman" w:hAnsi="Times New Roman"/>
          <w:szCs w:val="32"/>
        </w:rPr>
        <w:t>亿元，</w:t>
      </w:r>
      <w:r>
        <w:rPr>
          <w:rFonts w:hint="eastAsia" w:ascii="Times New Roman" w:hAnsi="Times New Roman"/>
          <w:szCs w:val="32"/>
        </w:rPr>
        <w:t>同口径与上年基本持平</w:t>
      </w:r>
      <w:r>
        <w:rPr>
          <w:rFonts w:ascii="Times New Roman" w:hAnsi="Times New Roman"/>
          <w:szCs w:val="32"/>
        </w:rPr>
        <w:t>。其中</w:t>
      </w:r>
      <w:r>
        <w:rPr>
          <w:rFonts w:hint="eastAsia" w:ascii="Times New Roman" w:hAnsi="Times New Roman"/>
          <w:szCs w:val="32"/>
        </w:rPr>
        <w:t>，</w:t>
      </w:r>
      <w:r>
        <w:rPr>
          <w:rFonts w:ascii="Times New Roman" w:hAnsi="Times New Roman"/>
          <w:szCs w:val="32"/>
        </w:rPr>
        <w:t>国有土地出让三项基金支出安排149.5亿元</w:t>
      </w:r>
      <w:r>
        <w:rPr>
          <w:rFonts w:hint="eastAsia" w:ascii="Times New Roman" w:hAnsi="Times New Roman"/>
          <w:szCs w:val="32"/>
        </w:rPr>
        <w:t>（其中：补助被征地农民保障支出增加安排4亿元，用于梁溪区和滨湖区被征地农民的基本生活保障），</w:t>
      </w:r>
      <w:r>
        <w:rPr>
          <w:rFonts w:ascii="Times New Roman" w:hAnsi="Times New Roman"/>
          <w:szCs w:val="32"/>
        </w:rPr>
        <w:t>一般项目支出安排</w:t>
      </w:r>
      <w:r>
        <w:rPr>
          <w:rFonts w:hint="eastAsia" w:ascii="Times New Roman" w:hAnsi="Times New Roman"/>
          <w:szCs w:val="32"/>
        </w:rPr>
        <w:t>6.5</w:t>
      </w:r>
      <w:r>
        <w:rPr>
          <w:rFonts w:ascii="Times New Roman" w:hAnsi="Times New Roman"/>
          <w:szCs w:val="32"/>
        </w:rPr>
        <w:t>亿元，专项债券支出</w:t>
      </w:r>
      <w:r>
        <w:rPr>
          <w:rFonts w:hint="eastAsia" w:ascii="Times New Roman" w:hAnsi="Times New Roman"/>
          <w:szCs w:val="32"/>
        </w:rPr>
        <w:t>、调出资金支出等安排39.6</w:t>
      </w:r>
      <w:r>
        <w:rPr>
          <w:rFonts w:ascii="Times New Roman" w:hAnsi="Times New Roman"/>
          <w:szCs w:val="32"/>
        </w:rPr>
        <w:t>亿元</w:t>
      </w:r>
      <w:r>
        <w:rPr>
          <w:rFonts w:hint="eastAsia" w:ascii="Times New Roman" w:hAnsi="Times New Roman"/>
          <w:szCs w:val="32"/>
        </w:rPr>
        <w:t>。</w:t>
      </w:r>
    </w:p>
    <w:p>
      <w:pPr>
        <w:tabs>
          <w:tab w:val="left" w:pos="540"/>
          <w:tab w:val="left" w:pos="2600"/>
        </w:tabs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上述总的收支相抵后，</w:t>
      </w:r>
      <w:r>
        <w:rPr>
          <w:rFonts w:hint="eastAsia" w:ascii="Times New Roman" w:hAnsi="Times New Roman"/>
          <w:szCs w:val="32"/>
        </w:rPr>
        <w:t>结转下年支出</w:t>
      </w:r>
      <w:r>
        <w:rPr>
          <w:rFonts w:ascii="Times New Roman" w:hAnsi="Times New Roman"/>
          <w:szCs w:val="32"/>
        </w:rPr>
        <w:t>安排</w:t>
      </w:r>
      <w:r>
        <w:rPr>
          <w:rFonts w:hint="eastAsia" w:ascii="Times New Roman" w:hAnsi="Times New Roman"/>
          <w:szCs w:val="32"/>
        </w:rPr>
        <w:t>10.7</w:t>
      </w:r>
      <w:r>
        <w:rPr>
          <w:rFonts w:ascii="Times New Roman" w:hAnsi="Times New Roman"/>
          <w:szCs w:val="32"/>
        </w:rPr>
        <w:t>亿元。</w:t>
      </w:r>
    </w:p>
    <w:p>
      <w:pPr>
        <w:adjustRightInd w:val="0"/>
        <w:spacing w:line="560" w:lineRule="exact"/>
        <w:ind w:firstLine="640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（五）国有资本经营预算草案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2018年市</w:t>
      </w:r>
      <w:r>
        <w:rPr>
          <w:rFonts w:hint="eastAsia" w:ascii="Times New Roman" w:hAnsi="Times New Roman"/>
          <w:szCs w:val="32"/>
        </w:rPr>
        <w:t>本</w:t>
      </w:r>
      <w:r>
        <w:rPr>
          <w:rFonts w:ascii="Times New Roman" w:hAnsi="Times New Roman"/>
          <w:szCs w:val="32"/>
        </w:rPr>
        <w:t>级国有资本经营预算收入</w:t>
      </w:r>
      <w:r>
        <w:rPr>
          <w:rFonts w:hint="eastAsia" w:ascii="Times New Roman" w:hAnsi="Times New Roman"/>
          <w:szCs w:val="32"/>
        </w:rPr>
        <w:t>预期</w:t>
      </w:r>
      <w:r>
        <w:rPr>
          <w:rFonts w:ascii="Times New Roman" w:hAnsi="Times New Roman"/>
          <w:szCs w:val="32"/>
        </w:rPr>
        <w:t xml:space="preserve"> 4.4亿元，</w:t>
      </w:r>
      <w:r>
        <w:rPr>
          <w:rFonts w:hint="eastAsia" w:ascii="Times New Roman" w:hAnsi="Times New Roman"/>
          <w:szCs w:val="32"/>
        </w:rPr>
        <w:t>剔除2017年国有企业资产重组的一次性因素后，同口径比上年增长7%。</w:t>
      </w:r>
      <w:r>
        <w:rPr>
          <w:rFonts w:ascii="Times New Roman" w:hAnsi="Times New Roman"/>
          <w:szCs w:val="32"/>
        </w:rPr>
        <w:t>其中：国联集团上缴利润收入2.3亿元，交通产业集团承担公交补贴1.2亿元，市政公用产业集团上缴利润收入0.6亿元，产业集团上缴利润收入0.2亿元，广电集团、君来集团、金投公司和体育产业集团上缴利润收入0.1亿元。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2018年市本级国有资本经营预算支出</w:t>
      </w:r>
      <w:r>
        <w:rPr>
          <w:rFonts w:hint="eastAsia" w:ascii="Times New Roman" w:hAnsi="Times New Roman"/>
          <w:szCs w:val="32"/>
        </w:rPr>
        <w:t>拟</w:t>
      </w:r>
      <w:r>
        <w:rPr>
          <w:rFonts w:ascii="Times New Roman" w:hAnsi="Times New Roman"/>
          <w:szCs w:val="32"/>
        </w:rPr>
        <w:t>安排4.4亿元，</w:t>
      </w:r>
      <w:r>
        <w:rPr>
          <w:rFonts w:hint="eastAsia" w:ascii="Times New Roman" w:hAnsi="Times New Roman"/>
          <w:szCs w:val="32"/>
        </w:rPr>
        <w:t>同口径比上年增长7%。</w:t>
      </w:r>
      <w:r>
        <w:rPr>
          <w:rFonts w:ascii="Times New Roman" w:hAnsi="Times New Roman"/>
          <w:szCs w:val="32"/>
        </w:rPr>
        <w:t>其中：国企改革统筹</w:t>
      </w:r>
      <w:r>
        <w:rPr>
          <w:rFonts w:hint="eastAsia" w:ascii="Times New Roman" w:hAnsi="Times New Roman"/>
          <w:szCs w:val="32"/>
        </w:rPr>
        <w:t>用于资本金注入</w:t>
      </w:r>
      <w:r>
        <w:rPr>
          <w:rFonts w:ascii="Times New Roman" w:hAnsi="Times New Roman"/>
          <w:szCs w:val="32"/>
        </w:rPr>
        <w:t>支出2.4亿元，公交补贴支出1.2亿元，</w:t>
      </w:r>
      <w:r>
        <w:rPr>
          <w:rFonts w:hint="eastAsia" w:ascii="Times New Roman" w:hAnsi="Times New Roman"/>
          <w:szCs w:val="32"/>
        </w:rPr>
        <w:t>其他国</w:t>
      </w:r>
      <w:r>
        <w:rPr>
          <w:rFonts w:ascii="Times New Roman" w:hAnsi="Times New Roman"/>
          <w:szCs w:val="32"/>
        </w:rPr>
        <w:t>企资本金和监管支出0.1亿元，调入一般公共预算支出0.7亿元。</w:t>
      </w:r>
    </w:p>
    <w:p>
      <w:pPr>
        <w:adjustRightInd w:val="0"/>
        <w:spacing w:line="560" w:lineRule="exact"/>
        <w:ind w:firstLine="640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（六）社会保险基金预算草案</w:t>
      </w:r>
    </w:p>
    <w:bookmarkEnd w:id="0"/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2018年市区社会保险基金预算当年收入</w:t>
      </w:r>
      <w:r>
        <w:rPr>
          <w:rFonts w:hint="eastAsia" w:ascii="Times New Roman" w:hAnsi="Times New Roman"/>
          <w:szCs w:val="32"/>
        </w:rPr>
        <w:t>预期</w:t>
      </w:r>
      <w:r>
        <w:rPr>
          <w:rFonts w:ascii="Times New Roman" w:hAnsi="Times New Roman"/>
          <w:szCs w:val="32"/>
        </w:rPr>
        <w:t>365.3亿元，加上阶段性降低社保费率后，企业职工基本养老保险、城镇职工基本医疗保险、失业保险三项基金当年收支存在缺口，需动用历年结余收入12.4亿元，总收入377.7亿元</w:t>
      </w:r>
      <w:r>
        <w:rPr>
          <w:rFonts w:hint="eastAsia" w:ascii="Times New Roman" w:hAnsi="Times New Roman"/>
          <w:szCs w:val="32"/>
        </w:rPr>
        <w:t>，剔除机关事业单位养老金并轨改革的不可比因素，同口径比上年增长0.6%。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2018年市区社会保险基金支出预算</w:t>
      </w:r>
      <w:r>
        <w:rPr>
          <w:rFonts w:hint="eastAsia" w:ascii="Times New Roman" w:hAnsi="Times New Roman"/>
          <w:szCs w:val="32"/>
        </w:rPr>
        <w:t>拟安排</w:t>
      </w:r>
      <w:r>
        <w:rPr>
          <w:rFonts w:ascii="Times New Roman" w:hAnsi="Times New Roman"/>
          <w:szCs w:val="32"/>
        </w:rPr>
        <w:t>376.5亿元，</w:t>
      </w:r>
      <w:r>
        <w:rPr>
          <w:rFonts w:hint="eastAsia" w:ascii="Times New Roman" w:hAnsi="Times New Roman"/>
          <w:szCs w:val="32"/>
        </w:rPr>
        <w:t>同口径比上年增长11.4%。</w:t>
      </w:r>
      <w:r>
        <w:rPr>
          <w:rFonts w:ascii="Times New Roman" w:hAnsi="Times New Roman"/>
          <w:szCs w:val="32"/>
        </w:rPr>
        <w:t>其中：企业职工基本养老保险基金支出194.5亿元，城乡居民基本养老保险基金支出23.5亿元，城镇职工基本医疗保险基金支出80.8亿元，居民基本医疗保险基金支出11亿元，工伤保险基金支出6.9亿元，生育保险基金支出8.6亿元，失业保险基金支出11.8亿元，机关事业单位基本养老保险基金支出39.4亿元。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上述总的收支相抵后，</w:t>
      </w:r>
      <w:r>
        <w:rPr>
          <w:rFonts w:hint="eastAsia" w:ascii="Times New Roman" w:hAnsi="Times New Roman"/>
          <w:szCs w:val="32"/>
        </w:rPr>
        <w:t>在动用历年结余的基础上，</w:t>
      </w:r>
      <w:r>
        <w:rPr>
          <w:rFonts w:ascii="Times New Roman" w:hAnsi="Times New Roman"/>
          <w:szCs w:val="32"/>
        </w:rPr>
        <w:t>部分基金当年收支结余1.2亿元。</w:t>
      </w:r>
    </w:p>
    <w:p>
      <w:pPr>
        <w:adjustRightInd w:val="0"/>
        <w:spacing w:line="56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三、2018年市本级预算安排的重点领域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围绕贯彻党的十九大精神和省、市委“两聚一高”的部署要求，2018年市本级全口径预算进一步加大了对各重点领域的财政保障力度，重点解决民生领域补短板、促进现代产业加快发展和城市基础设施建设支撑能力提升。其中：</w:t>
      </w:r>
    </w:p>
    <w:p>
      <w:pPr>
        <w:adjustRightInd w:val="0"/>
        <w:spacing w:line="56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楷体_GB2312"/>
          <w:szCs w:val="32"/>
        </w:rPr>
        <w:t>（一）社保民生领域：</w:t>
      </w:r>
      <w:r>
        <w:rPr>
          <w:rFonts w:ascii="Times New Roman" w:hAnsi="Times New Roman"/>
          <w:szCs w:val="32"/>
        </w:rPr>
        <w:t>财政支出重点向民生领域倾斜，2018年预算安排37亿元，</w:t>
      </w:r>
      <w:r>
        <w:rPr>
          <w:rFonts w:hint="eastAsia" w:ascii="Times New Roman" w:hAnsi="Times New Roman"/>
          <w:szCs w:val="32"/>
        </w:rPr>
        <w:t>较上年</w:t>
      </w:r>
      <w:r>
        <w:rPr>
          <w:rFonts w:ascii="Times New Roman" w:hAnsi="Times New Roman"/>
          <w:szCs w:val="32"/>
        </w:rPr>
        <w:t>增长1</w:t>
      </w:r>
      <w:r>
        <w:rPr>
          <w:rFonts w:hint="eastAsia" w:ascii="Times New Roman" w:hAnsi="Times New Roman"/>
          <w:szCs w:val="32"/>
        </w:rPr>
        <w:t>1</w:t>
      </w:r>
      <w:r>
        <w:rPr>
          <w:rFonts w:ascii="Times New Roman" w:hAnsi="Times New Roman"/>
          <w:szCs w:val="32"/>
        </w:rPr>
        <w:t>%以上。围绕精准扶贫，着力解决因病致贫问题，安排0.3亿元市区特定困难对象医疗救助责任保险金。深入推进扶贫帮困工作，安排0.3亿元帮扶经济薄弱村脱贫致富和加快发展。适应“二胎”政策放开，安排生育保险基金缺口补助0.5亿元，保障生育期间妇女职工的基本生活和</w:t>
      </w:r>
      <w:r>
        <w:fldChar w:fldCharType="begin"/>
      </w:r>
      <w:r>
        <w:instrText xml:space="preserve"> HYPERLINK "https://baike.baidu.com/item/%E5%8C%BB%E7%96%97%E6%9C%8D%E5%8A%A1" \t "_blank" </w:instrText>
      </w:r>
      <w:r>
        <w:fldChar w:fldCharType="separate"/>
      </w:r>
      <w:r>
        <w:rPr>
          <w:rFonts w:ascii="Times New Roman" w:hAnsi="Times New Roman"/>
          <w:szCs w:val="32"/>
        </w:rPr>
        <w:t>医疗服务</w:t>
      </w:r>
      <w:r>
        <w:rPr>
          <w:rFonts w:ascii="Times New Roman" w:hAnsi="Times New Roman"/>
          <w:szCs w:val="32"/>
        </w:rPr>
        <w:fldChar w:fldCharType="end"/>
      </w:r>
      <w:r>
        <w:rPr>
          <w:rFonts w:ascii="Times New Roman" w:hAnsi="Times New Roman"/>
          <w:szCs w:val="32"/>
        </w:rPr>
        <w:t>。促进老有所养、难有所助，安排尊老金、养老服务资金和城乡困难家庭救助资金0.8亿元，让老年人安享晚年、让困难家庭感受温暖。着力解决市民出行难问题、降低市民公共交通成本，安排4.8亿元公共交通补贴和4.6亿元地铁运营补贴。关注市民菜篮子工程，安排0.</w:t>
      </w:r>
      <w:r>
        <w:rPr>
          <w:rFonts w:hint="eastAsia" w:ascii="Times New Roman" w:hAnsi="Times New Roman"/>
          <w:szCs w:val="32"/>
        </w:rPr>
        <w:t>2</w:t>
      </w:r>
      <w:r>
        <w:rPr>
          <w:rFonts w:ascii="Times New Roman" w:hAnsi="Times New Roman"/>
          <w:szCs w:val="32"/>
        </w:rPr>
        <w:t>亿元支持农贸市场改造提升及长效管理。加大住房保障力度，安排3亿元支持保障房建设和旧住宅整治改造。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 w:eastAsia="楷体_GB2312"/>
          <w:szCs w:val="32"/>
        </w:rPr>
        <w:t>（二）产业强市领域：</w:t>
      </w:r>
      <w:r>
        <w:rPr>
          <w:rFonts w:ascii="Times New Roman" w:hAnsi="Times New Roman"/>
          <w:szCs w:val="32"/>
        </w:rPr>
        <w:t>保持“十三五”期间产业支持力度不减，2018年预算安排资金超过21亿元，重点促进实体经济发展和“产业强市”。突出重大项目引领，安排10.6亿元用于重大项目奖补、重点技术改造和产业股权投资基金出资；坚持人才优先战略，筑巢引凤安排2.2亿元推进太湖人才</w:t>
      </w:r>
      <w:r>
        <w:rPr>
          <w:rFonts w:hint="eastAsia" w:ascii="Times New Roman" w:hAnsi="Times New Roman"/>
          <w:szCs w:val="32"/>
        </w:rPr>
        <w:t>升级</w:t>
      </w:r>
      <w:r>
        <w:rPr>
          <w:rFonts w:ascii="Times New Roman" w:hAnsi="Times New Roman"/>
          <w:szCs w:val="32"/>
        </w:rPr>
        <w:t>计划和吸引大学生到锡就业；坚持创新驱动发展，安排5亿元支持科技创新、物联网、集成电路、工业智能化等现代产业发展；巩固外向型经济发展基础，安排0.5亿元支持外资、外贸和服务外包稳步发展；推进现代服务业发展，安排1.7亿元支持总部经济、服务业聚集区、文化产业、旅游业和金融业加快发展；落实供给侧结构性改革，继续安排降水价补贴1亿元，降低实体经济负担、支持本地企业发展。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 w:eastAsia="楷体_GB2312"/>
          <w:szCs w:val="32"/>
        </w:rPr>
        <w:t>（三）教育文体和医疗卫计领域：</w:t>
      </w:r>
      <w:r>
        <w:rPr>
          <w:rFonts w:ascii="Times New Roman" w:hAnsi="Times New Roman"/>
          <w:szCs w:val="32"/>
        </w:rPr>
        <w:t>不断加大对教育文体和医疗卫计的投入力度，2018年预算安排资金</w:t>
      </w:r>
      <w:r>
        <w:rPr>
          <w:rFonts w:hint="eastAsia" w:ascii="Times New Roman" w:hAnsi="Times New Roman"/>
          <w:szCs w:val="32"/>
        </w:rPr>
        <w:t>超过</w:t>
      </w:r>
      <w:r>
        <w:rPr>
          <w:rFonts w:ascii="Times New Roman" w:hAnsi="Times New Roman"/>
          <w:szCs w:val="32"/>
        </w:rPr>
        <w:t>22亿元，</w:t>
      </w:r>
      <w:r>
        <w:rPr>
          <w:rFonts w:hint="eastAsia" w:ascii="Times New Roman" w:hAnsi="Times New Roman"/>
          <w:szCs w:val="32"/>
        </w:rPr>
        <w:t>较上年</w:t>
      </w:r>
      <w:r>
        <w:rPr>
          <w:rFonts w:ascii="Times New Roman" w:hAnsi="Times New Roman"/>
          <w:szCs w:val="32"/>
        </w:rPr>
        <w:t>增长</w:t>
      </w:r>
      <w:r>
        <w:rPr>
          <w:rFonts w:hint="eastAsia" w:ascii="Times New Roman" w:hAnsi="Times New Roman"/>
          <w:szCs w:val="32"/>
        </w:rPr>
        <w:t>22</w:t>
      </w:r>
      <w:r>
        <w:rPr>
          <w:rFonts w:ascii="Times New Roman" w:hAnsi="Times New Roman"/>
          <w:szCs w:val="32"/>
        </w:rPr>
        <w:t>%</w:t>
      </w:r>
      <w:r>
        <w:rPr>
          <w:rFonts w:hint="eastAsia" w:ascii="Times New Roman" w:hAnsi="Times New Roman"/>
          <w:szCs w:val="32"/>
        </w:rPr>
        <w:t>以上</w:t>
      </w:r>
      <w:r>
        <w:rPr>
          <w:rFonts w:ascii="Times New Roman" w:hAnsi="Times New Roman"/>
          <w:szCs w:val="32"/>
        </w:rPr>
        <w:t>。围绕“办人民满意的教育”目标，在高等教育方面，对教育投资公司增加注资2亿元、安排滨江学院搬迁资金0.6亿元、江南大学合作资金0.1亿元，促进我市高等教育补短板；在职业教育方面，财政投入2</w:t>
      </w:r>
      <w:r>
        <w:rPr>
          <w:rFonts w:hint="eastAsia" w:ascii="Times New Roman" w:hAnsi="Times New Roman"/>
          <w:szCs w:val="32"/>
        </w:rPr>
        <w:t>.7</w:t>
      </w:r>
      <w:r>
        <w:rPr>
          <w:rFonts w:ascii="Times New Roman" w:hAnsi="Times New Roman"/>
          <w:szCs w:val="32"/>
        </w:rPr>
        <w:t>亿元，支持高等师范学校、开放大学、技师学院的基础设施建设；在义务教育方面，严格落实义务教育免学费政策，对困难学生给予生活补助、免收午餐费和社会实践费，安排0.3亿元保障新少年宫建设和投入使用；在学前教育方面，安排0.3亿元推进</w:t>
      </w:r>
      <w:r>
        <w:rPr>
          <w:rFonts w:hint="eastAsia" w:ascii="Times New Roman" w:hAnsi="Times New Roman"/>
          <w:szCs w:val="32"/>
        </w:rPr>
        <w:t>市属</w:t>
      </w:r>
      <w:r>
        <w:rPr>
          <w:rFonts w:ascii="Times New Roman" w:hAnsi="Times New Roman"/>
          <w:szCs w:val="32"/>
        </w:rPr>
        <w:t>幼儿园新园建设，推进学前教育现代化提升工程。加大全民健身运动，安排0.</w:t>
      </w:r>
      <w:r>
        <w:rPr>
          <w:rFonts w:hint="eastAsia" w:ascii="Times New Roman" w:hAnsi="Times New Roman"/>
          <w:szCs w:val="32"/>
        </w:rPr>
        <w:t>3</w:t>
      </w:r>
      <w:r>
        <w:rPr>
          <w:rFonts w:ascii="Times New Roman" w:hAnsi="Times New Roman"/>
          <w:szCs w:val="32"/>
        </w:rPr>
        <w:t>亿元用于体育中心整修改造和举办2018年世界击剑锦标赛；提升城市文化底蕴，安排0.2亿元用于市区重点文物修复工程。努力促进解决市民看病贵问题，安排1.2亿元提高药品零差率补贴力度；支持市属医院布局合理调整，统筹安排</w:t>
      </w:r>
      <w:r>
        <w:rPr>
          <w:rFonts w:hint="eastAsia" w:ascii="Times New Roman" w:hAnsi="Times New Roman"/>
          <w:szCs w:val="32"/>
        </w:rPr>
        <w:t>4</w:t>
      </w:r>
      <w:r>
        <w:rPr>
          <w:rFonts w:ascii="Times New Roman" w:hAnsi="Times New Roman"/>
          <w:szCs w:val="32"/>
        </w:rPr>
        <w:t>亿元用于</w:t>
      </w:r>
      <w:r>
        <w:rPr>
          <w:rFonts w:hint="eastAsia" w:ascii="Times New Roman" w:hAnsi="Times New Roman"/>
          <w:szCs w:val="32"/>
        </w:rPr>
        <w:t>基本医疗服务补助和</w:t>
      </w:r>
      <w:r>
        <w:rPr>
          <w:rFonts w:ascii="Times New Roman" w:hAnsi="Times New Roman"/>
          <w:szCs w:val="32"/>
        </w:rPr>
        <w:t>促进中医院、四院和五院等项目建设；进一步降低企业负担，独生子女父母一次性奖励金调整由财政全额承担，财政安排支出</w:t>
      </w:r>
      <w:r>
        <w:rPr>
          <w:rFonts w:hint="eastAsia" w:ascii="Times New Roman" w:hAnsi="Times New Roman"/>
          <w:szCs w:val="32"/>
        </w:rPr>
        <w:t>约1</w:t>
      </w:r>
      <w:r>
        <w:rPr>
          <w:rFonts w:ascii="Times New Roman" w:hAnsi="Times New Roman"/>
          <w:szCs w:val="32"/>
        </w:rPr>
        <w:t>亿元；提高药品检测水平，安排进口药品检测经费0.2亿元，支持医药企业发展。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 w:eastAsia="楷体_GB2312"/>
          <w:szCs w:val="32"/>
        </w:rPr>
        <w:t>（四）生态环保和城市建设领域：</w:t>
      </w:r>
      <w:r>
        <w:rPr>
          <w:rFonts w:ascii="Times New Roman" w:hAnsi="Times New Roman"/>
          <w:szCs w:val="32"/>
        </w:rPr>
        <w:t>不断提升城市品质和内涵，一般公共预算安排用于</w:t>
      </w:r>
      <w:r>
        <w:rPr>
          <w:rFonts w:hint="eastAsia" w:ascii="Times New Roman" w:hAnsi="Times New Roman"/>
          <w:szCs w:val="32"/>
        </w:rPr>
        <w:t>生态环保、</w:t>
      </w:r>
      <w:r>
        <w:rPr>
          <w:rFonts w:ascii="Times New Roman" w:hAnsi="Times New Roman"/>
          <w:szCs w:val="32"/>
        </w:rPr>
        <w:t>城市建设和还本付息资金</w:t>
      </w:r>
      <w:r>
        <w:rPr>
          <w:rFonts w:hint="eastAsia" w:ascii="Times New Roman" w:hAnsi="Times New Roman"/>
          <w:szCs w:val="32"/>
        </w:rPr>
        <w:t>近61</w:t>
      </w:r>
      <w:r>
        <w:rPr>
          <w:rFonts w:ascii="Times New Roman" w:hAnsi="Times New Roman"/>
          <w:szCs w:val="32"/>
        </w:rPr>
        <w:t>亿元，连同政府性基金等来源统筹安排的建设资金，城市建设领域支出同口径较上年增长</w:t>
      </w:r>
      <w:r>
        <w:rPr>
          <w:rFonts w:hint="eastAsia" w:ascii="Times New Roman" w:hAnsi="Times New Roman"/>
          <w:szCs w:val="32"/>
        </w:rPr>
        <w:t>20</w:t>
      </w:r>
      <w:r>
        <w:rPr>
          <w:rFonts w:ascii="Times New Roman" w:hAnsi="Times New Roman"/>
          <w:szCs w:val="32"/>
        </w:rPr>
        <w:t>%</w:t>
      </w:r>
      <w:r>
        <w:rPr>
          <w:rFonts w:hint="eastAsia" w:ascii="Times New Roman" w:hAnsi="Times New Roman"/>
          <w:szCs w:val="32"/>
        </w:rPr>
        <w:t>左右</w:t>
      </w:r>
      <w:r>
        <w:rPr>
          <w:rFonts w:ascii="Times New Roman" w:hAnsi="Times New Roman"/>
          <w:szCs w:val="32"/>
        </w:rPr>
        <w:t>，在保障必要的政府投资的同时，稳步化解地方</w:t>
      </w:r>
      <w:r>
        <w:rPr>
          <w:rFonts w:hint="eastAsia" w:ascii="Times New Roman" w:hAnsi="Times New Roman"/>
          <w:szCs w:val="32"/>
        </w:rPr>
        <w:t>政府</w:t>
      </w:r>
      <w:r>
        <w:rPr>
          <w:rFonts w:ascii="Times New Roman" w:hAnsi="Times New Roman"/>
          <w:szCs w:val="32"/>
        </w:rPr>
        <w:t>债务风险。坚守“绿水青山就是金山银山”的理念，安排</w:t>
      </w:r>
      <w:r>
        <w:rPr>
          <w:rFonts w:hint="eastAsia" w:ascii="Times New Roman" w:hAnsi="Times New Roman"/>
          <w:szCs w:val="32"/>
        </w:rPr>
        <w:t>3.1</w:t>
      </w:r>
      <w:r>
        <w:rPr>
          <w:rFonts w:ascii="Times New Roman" w:hAnsi="Times New Roman"/>
          <w:szCs w:val="32"/>
        </w:rPr>
        <w:t>亿元用于持续开展太湖水环境治理和水利工程建设；深入</w:t>
      </w:r>
      <w:r>
        <w:fldChar w:fldCharType="begin"/>
      </w:r>
      <w:r>
        <w:instrText xml:space="preserve"> HYPERLINK "http://www.baidu.com/link?url=Oskq716f_Z7nzXTsE2x74T0j0WtXZNvU8DfLFkp1aW0Dh8e_xMjqb6cRjm3HL2ZB1kHu5HAQtwCBsRzIOgjdI7IMKawh5p7ykOuwPbNivzeaFkGJpFUqB8yK-NYAHh-F" \t "_blank" </w:instrText>
      </w:r>
      <w:r>
        <w:fldChar w:fldCharType="separate"/>
      </w:r>
      <w:r>
        <w:rPr>
          <w:rFonts w:ascii="Times New Roman" w:hAnsi="Times New Roman"/>
          <w:szCs w:val="32"/>
        </w:rPr>
        <w:t>贯彻落实“263”专项行动</w:t>
      </w:r>
      <w:r>
        <w:rPr>
          <w:rFonts w:ascii="Times New Roman" w:hAnsi="Times New Roman"/>
          <w:szCs w:val="32"/>
        </w:rPr>
        <w:fldChar w:fldCharType="end"/>
      </w:r>
      <w:r>
        <w:rPr>
          <w:rFonts w:ascii="Times New Roman" w:hAnsi="Times New Roman"/>
          <w:szCs w:val="32"/>
        </w:rPr>
        <w:t>，安排1.4亿元用于黑臭水体整治、河道环境综合整治和排水达标区建设；</w:t>
      </w:r>
      <w:r>
        <w:rPr>
          <w:rFonts w:hint="eastAsia" w:ascii="Times New Roman" w:hAnsi="Times New Roman"/>
          <w:szCs w:val="32"/>
        </w:rPr>
        <w:t>积极支持生活垃圾处置工作，安排5亿元用于加快锡东生态园建设；</w:t>
      </w:r>
      <w:r>
        <w:rPr>
          <w:rFonts w:ascii="Times New Roman" w:hAnsi="Times New Roman"/>
          <w:szCs w:val="32"/>
        </w:rPr>
        <w:t>加大力度推进生态文明建设，安排0.9亿元用于健全完善河长制和生态补偿机制。合力推进锡澄、锡宜一体化建设，安排</w:t>
      </w:r>
      <w:r>
        <w:rPr>
          <w:rFonts w:hint="eastAsia" w:ascii="Times New Roman" w:hAnsi="Times New Roman"/>
          <w:szCs w:val="32"/>
        </w:rPr>
        <w:t>3</w:t>
      </w:r>
      <w:r>
        <w:rPr>
          <w:rFonts w:ascii="Times New Roman" w:hAnsi="Times New Roman"/>
          <w:szCs w:val="32"/>
        </w:rPr>
        <w:t>亿元用于苏锡常南部通道资本金出资</w:t>
      </w:r>
      <w:r>
        <w:rPr>
          <w:rFonts w:hint="eastAsia" w:ascii="Times New Roman" w:hAnsi="Times New Roman"/>
          <w:szCs w:val="32"/>
        </w:rPr>
        <w:t>、锡澄运河航道整治</w:t>
      </w:r>
      <w:r>
        <w:rPr>
          <w:rFonts w:ascii="Times New Roman" w:hAnsi="Times New Roman"/>
          <w:szCs w:val="32"/>
        </w:rPr>
        <w:t>和研究推进锡澄S1线项目建设；加快轨道交通建设步伐，当年市</w:t>
      </w:r>
      <w:r>
        <w:rPr>
          <w:rFonts w:hint="eastAsia" w:ascii="Times New Roman" w:hAnsi="Times New Roman"/>
          <w:szCs w:val="32"/>
        </w:rPr>
        <w:t>本</w:t>
      </w:r>
      <w:r>
        <w:rPr>
          <w:rFonts w:ascii="Times New Roman" w:hAnsi="Times New Roman"/>
          <w:szCs w:val="32"/>
        </w:rPr>
        <w:t>级投入22.4亿元用于地铁3、4号线建设；</w:t>
      </w:r>
      <w:r>
        <w:rPr>
          <w:rFonts w:hint="eastAsia" w:ascii="Times New Roman" w:hAnsi="Times New Roman"/>
          <w:szCs w:val="32"/>
        </w:rPr>
        <w:t>着力</w:t>
      </w:r>
      <w:r>
        <w:rPr>
          <w:rFonts w:ascii="Times New Roman" w:hAnsi="Times New Roman"/>
          <w:szCs w:val="32"/>
        </w:rPr>
        <w:t>改善市区交通环网，安排</w:t>
      </w:r>
      <w:r>
        <w:rPr>
          <w:rFonts w:hint="eastAsia" w:ascii="Times New Roman" w:hAnsi="Times New Roman"/>
          <w:szCs w:val="32"/>
        </w:rPr>
        <w:t>17.1</w:t>
      </w:r>
      <w:r>
        <w:rPr>
          <w:rFonts w:ascii="Times New Roman" w:hAnsi="Times New Roman"/>
          <w:szCs w:val="32"/>
        </w:rPr>
        <w:t>亿元用于蠡湖大道、江海西路、凤翔北路快速化改造</w:t>
      </w:r>
      <w:r>
        <w:rPr>
          <w:rFonts w:hint="eastAsia" w:ascii="Times New Roman" w:hAnsi="Times New Roman"/>
          <w:szCs w:val="32"/>
        </w:rPr>
        <w:t>、新锡路、渔港路和</w:t>
      </w:r>
      <w:r>
        <w:rPr>
          <w:rFonts w:ascii="Times New Roman" w:hAnsi="Times New Roman"/>
          <w:szCs w:val="32"/>
        </w:rPr>
        <w:t>运河东路</w:t>
      </w:r>
      <w:r>
        <w:rPr>
          <w:rFonts w:hint="eastAsia" w:ascii="Times New Roman" w:hAnsi="Times New Roman"/>
          <w:szCs w:val="32"/>
        </w:rPr>
        <w:t>大修</w:t>
      </w:r>
      <w:r>
        <w:rPr>
          <w:rFonts w:ascii="Times New Roman" w:hAnsi="Times New Roman"/>
          <w:szCs w:val="32"/>
        </w:rPr>
        <w:t>工程。</w:t>
      </w:r>
    </w:p>
    <w:p>
      <w:pPr>
        <w:adjustRightInd w:val="0"/>
        <w:spacing w:line="56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四、完成2018年预算的主要措施</w:t>
      </w:r>
    </w:p>
    <w:p>
      <w:pPr>
        <w:adjustRightInd w:val="0"/>
        <w:spacing w:line="560" w:lineRule="exact"/>
        <w:ind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2018年，市财政部门将在市委、市政府的领导下，在市人大的监督下，进一步发挥财政的基础性、制度性和保障性作用，综合施策夯实税源财源基础，努力保持财政收入稳定增长，协同推进供给侧结构性改革，不断提高财政治理水平，为全市经济社会发展提供有力的支撑和保障。重点要做好以下工作：</w:t>
      </w:r>
    </w:p>
    <w:p>
      <w:pPr>
        <w:pBdr>
          <w:bottom w:val="single" w:color="FFFFFF" w:sz="4" w:space="31"/>
        </w:pBdr>
        <w:adjustRightInd w:val="0"/>
        <w:spacing w:line="560" w:lineRule="exact"/>
        <w:ind w:firstLine="643"/>
        <w:rPr>
          <w:rFonts w:ascii="Times New Roman" w:hAnsi="Times New Roman"/>
          <w:szCs w:val="32"/>
        </w:rPr>
      </w:pPr>
      <w:r>
        <w:rPr>
          <w:rFonts w:ascii="Times New Roman" w:hAnsi="Times New Roman"/>
          <w:b/>
          <w:szCs w:val="32"/>
        </w:rPr>
        <w:t>一是瞄准“提质增效”，全力推动财政收入规模和质量跃上新台阶。</w:t>
      </w:r>
      <w:r>
        <w:rPr>
          <w:rFonts w:ascii="Times New Roman" w:hAnsi="Times New Roman"/>
          <w:szCs w:val="32"/>
        </w:rPr>
        <w:t>紧跟时代新变化、税改新趋势、经济新动能，一手抓有效投入和减税降费，多予少取增强经济内生动力；一手抓财源建设和收入提质，依法治税增强综合平衡能力。在房地产、建筑业、股权转让、价值链管理等方面，进一步创新思路、强化协同、精益管理、挖掘潜力，实现经济</w:t>
      </w:r>
      <w:r>
        <w:rPr>
          <w:rFonts w:hint="eastAsia" w:ascii="Times New Roman" w:hAnsi="Times New Roman"/>
          <w:szCs w:val="32"/>
        </w:rPr>
        <w:t>转型</w:t>
      </w:r>
      <w:r>
        <w:rPr>
          <w:rFonts w:ascii="Times New Roman" w:hAnsi="Times New Roman"/>
          <w:szCs w:val="32"/>
        </w:rPr>
        <w:t>创新发展基础上的税收收入稳步增长，实现房地产市场科学调控基础上的基金收入基本稳定。2018年全市一般公共预算收入在确保完成6.5%的基础上，争取进一步向总量超千亿元的目标努力，政府性基金</w:t>
      </w:r>
      <w:r>
        <w:rPr>
          <w:rFonts w:hint="eastAsia" w:ascii="Times New Roman" w:hAnsi="Times New Roman"/>
          <w:szCs w:val="32"/>
        </w:rPr>
        <w:t>预算</w:t>
      </w:r>
      <w:r>
        <w:rPr>
          <w:rFonts w:ascii="Times New Roman" w:hAnsi="Times New Roman"/>
          <w:szCs w:val="32"/>
        </w:rPr>
        <w:t>收入力争稳定维持在200亿元左右，促进</w:t>
      </w:r>
      <w:r>
        <w:rPr>
          <w:rFonts w:hint="eastAsia" w:ascii="Times New Roman" w:hAnsi="Times New Roman"/>
          <w:szCs w:val="32"/>
        </w:rPr>
        <w:t>全口径</w:t>
      </w:r>
      <w:r>
        <w:rPr>
          <w:rFonts w:ascii="Times New Roman" w:hAnsi="Times New Roman"/>
          <w:szCs w:val="32"/>
        </w:rPr>
        <w:t>收入质量再上新台阶。</w:t>
      </w:r>
    </w:p>
    <w:p>
      <w:pPr>
        <w:pBdr>
          <w:bottom w:val="single" w:color="FFFFFF" w:sz="4" w:space="31"/>
        </w:pBdr>
        <w:adjustRightInd w:val="0"/>
        <w:spacing w:line="560" w:lineRule="exact"/>
        <w:ind w:firstLine="643"/>
        <w:rPr>
          <w:rFonts w:ascii="Times New Roman" w:hAnsi="Times New Roman"/>
          <w:szCs w:val="32"/>
        </w:rPr>
      </w:pPr>
      <w:r>
        <w:rPr>
          <w:rFonts w:ascii="Times New Roman" w:hAnsi="Times New Roman"/>
          <w:b/>
          <w:szCs w:val="32"/>
        </w:rPr>
        <w:t>二是聚焦“产业强市”，加力实施积极财政政策增强经济发展新动能。</w:t>
      </w:r>
      <w:r>
        <w:rPr>
          <w:rFonts w:ascii="Times New Roman" w:hAnsi="Times New Roman"/>
          <w:szCs w:val="32"/>
        </w:rPr>
        <w:t>围绕现代化经济体系建设，提高政策制度供给质量，构建完善</w:t>
      </w:r>
      <w:r>
        <w:rPr>
          <w:rFonts w:hint="eastAsia" w:ascii="Times New Roman" w:hAnsi="Times New Roman"/>
          <w:szCs w:val="32"/>
        </w:rPr>
        <w:t>重点聚焦</w:t>
      </w:r>
      <w:r>
        <w:rPr>
          <w:rFonts w:ascii="Times New Roman" w:hAnsi="Times New Roman"/>
          <w:szCs w:val="32"/>
        </w:rPr>
        <w:t>、支撑有力、绩效突出的现代产业政策支持体系。进一步优化股权基金投资决策机制，通过市场化方式选择管理机构和专业人才，促进项目投资效率提高；鼓励各地区对接好省、市股权基金，结合本地区优势产业和发展规划需要，建立个性化的特色股权基金；进一步扩大债权基金合作范围，优化信贷流程，强化激励考核；结合实际情况调整风险补偿基金规模，通过鼓励先进、制约落后，进一步优化合作银行结构、</w:t>
      </w:r>
      <w:r>
        <w:rPr>
          <w:rFonts w:hint="eastAsia" w:ascii="Times New Roman" w:hAnsi="Times New Roman"/>
          <w:szCs w:val="32"/>
        </w:rPr>
        <w:t>扩大</w:t>
      </w:r>
      <w:r>
        <w:rPr>
          <w:rFonts w:ascii="Times New Roman" w:hAnsi="Times New Roman"/>
          <w:szCs w:val="32"/>
        </w:rPr>
        <w:t>信保基金</w:t>
      </w:r>
      <w:r>
        <w:rPr>
          <w:rFonts w:hint="eastAsia" w:ascii="Times New Roman" w:hAnsi="Times New Roman"/>
          <w:szCs w:val="32"/>
        </w:rPr>
        <w:t>成</w:t>
      </w:r>
      <w:r>
        <w:rPr>
          <w:rFonts w:ascii="Times New Roman" w:hAnsi="Times New Roman"/>
          <w:szCs w:val="32"/>
        </w:rPr>
        <w:t>效。</w:t>
      </w:r>
    </w:p>
    <w:p>
      <w:pPr>
        <w:pBdr>
          <w:bottom w:val="single" w:color="FFFFFF" w:sz="4" w:space="31"/>
        </w:pBdr>
        <w:adjustRightInd w:val="0"/>
        <w:spacing w:line="560" w:lineRule="exact"/>
        <w:ind w:firstLine="643"/>
        <w:rPr>
          <w:rFonts w:ascii="Times New Roman" w:hAnsi="Times New Roman"/>
          <w:szCs w:val="32"/>
        </w:rPr>
      </w:pPr>
      <w:r>
        <w:rPr>
          <w:rFonts w:ascii="Times New Roman" w:hAnsi="Times New Roman"/>
          <w:b/>
          <w:szCs w:val="32"/>
        </w:rPr>
        <w:t>三是对标“美好生活”，坚持在发展中倾力保障和改善民生。</w:t>
      </w:r>
      <w:r>
        <w:rPr>
          <w:rFonts w:ascii="Times New Roman" w:hAnsi="Times New Roman"/>
          <w:szCs w:val="32"/>
        </w:rPr>
        <w:t>坚持“守住底线、突出重点、完善制度、引导预期”的原则，积极构筑完善财政富民惠民政策服务体系。坚持尽力而为、量力而行，力争民生预期、财政预期、经济预期协调一致，居民收入</w:t>
      </w:r>
      <w:r>
        <w:rPr>
          <w:rFonts w:hint="eastAsia" w:ascii="Times New Roman" w:hAnsi="Times New Roman"/>
          <w:szCs w:val="32"/>
        </w:rPr>
        <w:t>、</w:t>
      </w:r>
      <w:r>
        <w:rPr>
          <w:rFonts w:ascii="Times New Roman" w:hAnsi="Times New Roman"/>
          <w:szCs w:val="32"/>
        </w:rPr>
        <w:t>财政收入、企业利润</w:t>
      </w:r>
      <w:r>
        <w:rPr>
          <w:rFonts w:hint="eastAsia" w:ascii="Times New Roman" w:hAnsi="Times New Roman"/>
          <w:szCs w:val="32"/>
        </w:rPr>
        <w:t>“三个口袋”更加充实。</w:t>
      </w:r>
      <w:r>
        <w:rPr>
          <w:rFonts w:ascii="Times New Roman" w:hAnsi="Times New Roman"/>
          <w:szCs w:val="32"/>
        </w:rPr>
        <w:t>通过盘活存量、用好增量，为富民惠民多做雪中送炭、</w:t>
      </w:r>
      <w:r>
        <w:rPr>
          <w:rFonts w:hint="eastAsia" w:ascii="Times New Roman" w:hAnsi="Times New Roman"/>
          <w:szCs w:val="32"/>
        </w:rPr>
        <w:t>解难</w:t>
      </w:r>
      <w:r>
        <w:rPr>
          <w:rFonts w:ascii="Times New Roman" w:hAnsi="Times New Roman"/>
          <w:szCs w:val="32"/>
        </w:rPr>
        <w:t>帮困的工作；进一步加大民生投入力度，通过严控一般性支出、调整支出结构，腾出更多财力用于教育医疗、精准脱贫、就业创业、社会保障等重点民生投入，支持建设健康无锡、美丽无锡；创新政府购买服务、政策引导补助等方式，引导和支持社会力量参与民生事业。</w:t>
      </w:r>
    </w:p>
    <w:p>
      <w:pPr>
        <w:pBdr>
          <w:bottom w:val="single" w:color="FFFFFF" w:sz="4" w:space="31"/>
        </w:pBdr>
        <w:adjustRightInd w:val="0"/>
        <w:spacing w:line="560" w:lineRule="exact"/>
        <w:ind w:firstLine="643"/>
        <w:rPr>
          <w:rFonts w:ascii="Times New Roman" w:hAnsi="Times New Roman"/>
          <w:szCs w:val="32"/>
        </w:rPr>
      </w:pPr>
      <w:r>
        <w:rPr>
          <w:rFonts w:ascii="Times New Roman" w:hAnsi="Times New Roman"/>
          <w:b/>
          <w:szCs w:val="32"/>
        </w:rPr>
        <w:t>四是突出“协同发展”，构建支持城乡一体融合发展新机制。</w:t>
      </w:r>
      <w:r>
        <w:rPr>
          <w:rFonts w:ascii="Times New Roman" w:hAnsi="Times New Roman"/>
          <w:szCs w:val="32"/>
        </w:rPr>
        <w:t>在市、区城市维护领域试点改革基础上，进一步探索建立财政事权与支出责任相适应、更加责权清晰的市区间财政体制，通过提高一般性转移支付的比重、试点推广提前下达等改革，建立更加统一完善的转移支付制度。围绕城市现代化和新型城镇化建设，进一步深化投融资体制改革，创新城市建设投融资模式</w:t>
      </w:r>
      <w:r>
        <w:rPr>
          <w:rFonts w:hint="eastAsia" w:ascii="Times New Roman" w:hAnsi="Times New Roman"/>
          <w:szCs w:val="32"/>
        </w:rPr>
        <w:t>，</w:t>
      </w:r>
      <w:r>
        <w:rPr>
          <w:rFonts w:ascii="Times New Roman" w:hAnsi="Times New Roman"/>
          <w:szCs w:val="32"/>
        </w:rPr>
        <w:t>推进</w:t>
      </w:r>
      <w:r>
        <w:rPr>
          <w:rFonts w:hint="eastAsia" w:ascii="Times New Roman" w:hAnsi="Times New Roman"/>
          <w:szCs w:val="32"/>
        </w:rPr>
        <w:t>完善</w:t>
      </w:r>
      <w:r>
        <w:rPr>
          <w:rFonts w:ascii="Times New Roman" w:hAnsi="Times New Roman"/>
          <w:szCs w:val="32"/>
        </w:rPr>
        <w:t>重大基础设施共建共担共享机制。围绕</w:t>
      </w:r>
      <w:r>
        <w:rPr>
          <w:rFonts w:hint="eastAsia" w:ascii="Times New Roman" w:hAnsi="Times New Roman"/>
          <w:szCs w:val="32"/>
        </w:rPr>
        <w:t>生态保护、</w:t>
      </w:r>
      <w:r>
        <w:rPr>
          <w:rFonts w:ascii="Times New Roman" w:hAnsi="Times New Roman"/>
          <w:szCs w:val="32"/>
        </w:rPr>
        <w:t>城乡一体化和乡村振兴战略要求，积极构建完善支持</w:t>
      </w:r>
      <w:r>
        <w:rPr>
          <w:rFonts w:hint="eastAsia" w:ascii="Times New Roman" w:hAnsi="Times New Roman"/>
          <w:szCs w:val="32"/>
        </w:rPr>
        <w:t>黑臭水体和河道综合整治、太湖水环境治理、</w:t>
      </w:r>
      <w:r>
        <w:rPr>
          <w:rFonts w:ascii="Times New Roman" w:hAnsi="Times New Roman"/>
          <w:szCs w:val="32"/>
        </w:rPr>
        <w:t>美丽乡村、特色小镇、现代农业发展、生态文明建设的</w:t>
      </w:r>
      <w:r>
        <w:rPr>
          <w:rFonts w:hint="eastAsia" w:ascii="Times New Roman" w:hAnsi="Times New Roman"/>
          <w:szCs w:val="32"/>
        </w:rPr>
        <w:t>公共</w:t>
      </w:r>
      <w:r>
        <w:rPr>
          <w:rFonts w:ascii="Times New Roman" w:hAnsi="Times New Roman"/>
          <w:szCs w:val="32"/>
        </w:rPr>
        <w:t>政策体系。</w:t>
      </w:r>
    </w:p>
    <w:p>
      <w:pPr>
        <w:pBdr>
          <w:bottom w:val="single" w:color="FFFFFF" w:sz="4" w:space="31"/>
        </w:pBdr>
        <w:adjustRightInd w:val="0"/>
        <w:spacing w:line="560" w:lineRule="exact"/>
        <w:ind w:firstLine="643"/>
        <w:rPr>
          <w:rFonts w:ascii="Times New Roman" w:hAnsi="Times New Roman"/>
          <w:szCs w:val="32"/>
        </w:rPr>
      </w:pPr>
      <w:r>
        <w:rPr>
          <w:rFonts w:ascii="Times New Roman" w:hAnsi="Times New Roman"/>
          <w:b/>
          <w:szCs w:val="32"/>
        </w:rPr>
        <w:t>五是深化“管理改革”，积极推动财政改革发展上新水平。</w:t>
      </w:r>
      <w:r>
        <w:rPr>
          <w:rFonts w:ascii="Times New Roman" w:hAnsi="Times New Roman"/>
          <w:szCs w:val="32"/>
        </w:rPr>
        <w:t>围绕十九大报告“建立全面规范透明、标准科学、约束有力的预算制度”要求，推进建立预算公开、绩效管理、监督考核、风险内控等互相联动的约束机制。强化债务风险管控责任，严格落实债务风险化解方案目标要求</w:t>
      </w:r>
      <w:r>
        <w:rPr>
          <w:rFonts w:hint="eastAsia" w:ascii="Times New Roman" w:hAnsi="Times New Roman"/>
          <w:szCs w:val="32"/>
        </w:rPr>
        <w:t>，全面推进国企深化改革和国有融资平台实体化转型</w:t>
      </w:r>
      <w:r>
        <w:rPr>
          <w:rFonts w:ascii="Times New Roman" w:hAnsi="Times New Roman"/>
          <w:szCs w:val="32"/>
        </w:rPr>
        <w:t>。统筹落实地铁建设项目资本金到位，确保在建基础设施项目和跨区域重大基础设施建设的资金规范筹集、整改到位工作。积极对上争取及时完成政府平台已确认债务的置换工作，用好用足上级专项债券等政策工具。推动政府投融资平台市场化转型，通过盘活存量资源、资产证券化、债务重组等方式，有效防范和化解政府债务风险</w:t>
      </w:r>
      <w:r>
        <w:rPr>
          <w:rFonts w:hint="eastAsia" w:ascii="Times New Roman" w:hAnsi="Times New Roman"/>
          <w:szCs w:val="32"/>
        </w:rPr>
        <w:t>，做到“增量不违规、存量不出险”。</w:t>
      </w:r>
    </w:p>
    <w:p>
      <w:pPr>
        <w:pBdr>
          <w:bottom w:val="single" w:color="FFFFFF" w:sz="4" w:space="31"/>
        </w:pBd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</w:p>
    <w:p>
      <w:pPr>
        <w:pBdr>
          <w:bottom w:val="single" w:color="FFFFFF" w:sz="4" w:space="31"/>
        </w:pBdr>
        <w:adjustRightInd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各位代表：做好今年的财政工作，任务艰巨，责任重大。我们将以党的十九大精神为指引，在市委、市政府的坚强领导下，严格按照市十六届人大二次会议的决议和要求，主动创新作为，加快深化改革，勇于攻坚克难，凝聚各方合力，努力完成各项财政工作目标任务，</w:t>
      </w:r>
      <w:r>
        <w:rPr>
          <w:rFonts w:ascii="Times New Roman" w:hAnsi="Times New Roman"/>
          <w:kern w:val="0"/>
          <w:szCs w:val="32"/>
        </w:rPr>
        <w:t>为高水平全面建成小康社会、加快</w:t>
      </w:r>
      <w:r>
        <w:rPr>
          <w:rFonts w:ascii="Times New Roman" w:hAnsi="Times New Roman"/>
          <w:szCs w:val="32"/>
        </w:rPr>
        <w:t>建设</w:t>
      </w:r>
      <w:r>
        <w:rPr>
          <w:rFonts w:ascii="Times New Roman" w:hAnsi="Times New Roman"/>
          <w:kern w:val="0"/>
          <w:szCs w:val="32"/>
        </w:rPr>
        <w:t>“强富美高”新无锡作出新的更大贡献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985" w:right="1531" w:bottom="1985" w:left="1531" w:header="567" w:footer="1701" w:gutter="0"/>
      <w:pgNumType w:start="1"/>
      <w:cols w:space="720" w:num="1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/>
    </w:pPr>
    <w:r>
      <w:fldChar w:fldCharType="begin"/>
    </w:r>
    <w:r>
      <w:instrText xml:space="preserve">PAGE   \* MERGEFORMAT</w:instrText>
    </w:r>
    <w:r>
      <w:fldChar w:fldCharType="separate"/>
    </w:r>
    <w:r>
      <w:t>19</w:t>
    </w:r>
    <w:r>
      <w:fldChar w:fldCharType="end"/>
    </w:r>
  </w:p>
  <w:p>
    <w:pPr>
      <w:pStyle w:val="9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/>
    </w:pPr>
    <w:r>
      <w:fldChar w:fldCharType="begin"/>
    </w:r>
    <w:r>
      <w:instrText xml:space="preserve">PAGE   \* MERGEFORMAT</w:instrText>
    </w:r>
    <w:r>
      <w:fldChar w:fldCharType="separate"/>
    </w:r>
    <w:r>
      <w:t>18</w:t>
    </w:r>
    <w:r>
      <w:fldChar w:fldCharType="end"/>
    </w:r>
  </w:p>
  <w:p>
    <w:pPr>
      <w:pStyle w:val="9"/>
      <w:framePr w:wrap="aroun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305"/>
  <w:drawingGridVerticalSpacing w:val="28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ZDQwOWNiMTdmMjViMDNjMTE5NWNjZjkzMmNhY2EifQ=="/>
  </w:docVars>
  <w:rsids>
    <w:rsidRoot w:val="00D22752"/>
    <w:rsid w:val="00001A9C"/>
    <w:rsid w:val="00001BBA"/>
    <w:rsid w:val="00003480"/>
    <w:rsid w:val="00006BED"/>
    <w:rsid w:val="0001289E"/>
    <w:rsid w:val="000137D8"/>
    <w:rsid w:val="00013EC9"/>
    <w:rsid w:val="000141A7"/>
    <w:rsid w:val="000152BD"/>
    <w:rsid w:val="00016B27"/>
    <w:rsid w:val="00020445"/>
    <w:rsid w:val="00020476"/>
    <w:rsid w:val="0002070B"/>
    <w:rsid w:val="00020D08"/>
    <w:rsid w:val="00021354"/>
    <w:rsid w:val="00021816"/>
    <w:rsid w:val="00021FE0"/>
    <w:rsid w:val="000224E7"/>
    <w:rsid w:val="00022788"/>
    <w:rsid w:val="00023528"/>
    <w:rsid w:val="000238D9"/>
    <w:rsid w:val="00024819"/>
    <w:rsid w:val="00024931"/>
    <w:rsid w:val="00024D99"/>
    <w:rsid w:val="0002558D"/>
    <w:rsid w:val="00025BE3"/>
    <w:rsid w:val="00027243"/>
    <w:rsid w:val="000322FE"/>
    <w:rsid w:val="00032CC9"/>
    <w:rsid w:val="00032D7B"/>
    <w:rsid w:val="000330A6"/>
    <w:rsid w:val="000338C4"/>
    <w:rsid w:val="00034433"/>
    <w:rsid w:val="000359D5"/>
    <w:rsid w:val="00036E23"/>
    <w:rsid w:val="000373C5"/>
    <w:rsid w:val="0004192C"/>
    <w:rsid w:val="00043FF2"/>
    <w:rsid w:val="00044E5D"/>
    <w:rsid w:val="00047CAE"/>
    <w:rsid w:val="000514BE"/>
    <w:rsid w:val="00052011"/>
    <w:rsid w:val="000538AF"/>
    <w:rsid w:val="00053AD4"/>
    <w:rsid w:val="000549A0"/>
    <w:rsid w:val="00055E3F"/>
    <w:rsid w:val="000574C1"/>
    <w:rsid w:val="00057E05"/>
    <w:rsid w:val="0006051C"/>
    <w:rsid w:val="00061182"/>
    <w:rsid w:val="0006135E"/>
    <w:rsid w:val="00061A0F"/>
    <w:rsid w:val="00063A5E"/>
    <w:rsid w:val="00063F28"/>
    <w:rsid w:val="00064260"/>
    <w:rsid w:val="0006487A"/>
    <w:rsid w:val="000651D4"/>
    <w:rsid w:val="00065566"/>
    <w:rsid w:val="00065C1A"/>
    <w:rsid w:val="00067A19"/>
    <w:rsid w:val="00072B7A"/>
    <w:rsid w:val="00073BEE"/>
    <w:rsid w:val="000744C1"/>
    <w:rsid w:val="00077663"/>
    <w:rsid w:val="00080141"/>
    <w:rsid w:val="00081184"/>
    <w:rsid w:val="0008155C"/>
    <w:rsid w:val="00083B67"/>
    <w:rsid w:val="00083F44"/>
    <w:rsid w:val="00085A12"/>
    <w:rsid w:val="00090848"/>
    <w:rsid w:val="00092246"/>
    <w:rsid w:val="000930C9"/>
    <w:rsid w:val="00094C21"/>
    <w:rsid w:val="00096A71"/>
    <w:rsid w:val="00096F36"/>
    <w:rsid w:val="0009717C"/>
    <w:rsid w:val="0009725B"/>
    <w:rsid w:val="000A03FE"/>
    <w:rsid w:val="000A1435"/>
    <w:rsid w:val="000A288E"/>
    <w:rsid w:val="000A29A1"/>
    <w:rsid w:val="000A2C7C"/>
    <w:rsid w:val="000A3807"/>
    <w:rsid w:val="000A40D1"/>
    <w:rsid w:val="000A4E7B"/>
    <w:rsid w:val="000A7361"/>
    <w:rsid w:val="000A763E"/>
    <w:rsid w:val="000A7D15"/>
    <w:rsid w:val="000B1173"/>
    <w:rsid w:val="000B2186"/>
    <w:rsid w:val="000B2A66"/>
    <w:rsid w:val="000B2F7D"/>
    <w:rsid w:val="000B34C9"/>
    <w:rsid w:val="000B3FF1"/>
    <w:rsid w:val="000B53F9"/>
    <w:rsid w:val="000C1270"/>
    <w:rsid w:val="000C14A2"/>
    <w:rsid w:val="000C152A"/>
    <w:rsid w:val="000C1BCD"/>
    <w:rsid w:val="000C258D"/>
    <w:rsid w:val="000C2FA2"/>
    <w:rsid w:val="000C3A48"/>
    <w:rsid w:val="000C6951"/>
    <w:rsid w:val="000D051F"/>
    <w:rsid w:val="000D0602"/>
    <w:rsid w:val="000D4AEA"/>
    <w:rsid w:val="000D5677"/>
    <w:rsid w:val="000D5FA1"/>
    <w:rsid w:val="000D62DC"/>
    <w:rsid w:val="000D66E4"/>
    <w:rsid w:val="000D6F43"/>
    <w:rsid w:val="000D7865"/>
    <w:rsid w:val="000D7BE3"/>
    <w:rsid w:val="000E0B57"/>
    <w:rsid w:val="000E0F98"/>
    <w:rsid w:val="000E11E1"/>
    <w:rsid w:val="000E25C0"/>
    <w:rsid w:val="000E2AEF"/>
    <w:rsid w:val="000E2FCC"/>
    <w:rsid w:val="000E384F"/>
    <w:rsid w:val="000E4FAC"/>
    <w:rsid w:val="000E5AF9"/>
    <w:rsid w:val="000E5D31"/>
    <w:rsid w:val="000E5DF5"/>
    <w:rsid w:val="000E662F"/>
    <w:rsid w:val="000F0A10"/>
    <w:rsid w:val="000F1B7E"/>
    <w:rsid w:val="000F49EF"/>
    <w:rsid w:val="000F762C"/>
    <w:rsid w:val="000F7D87"/>
    <w:rsid w:val="00100836"/>
    <w:rsid w:val="00100FE9"/>
    <w:rsid w:val="00101CDD"/>
    <w:rsid w:val="001025A4"/>
    <w:rsid w:val="00102F1A"/>
    <w:rsid w:val="001038B2"/>
    <w:rsid w:val="00103D41"/>
    <w:rsid w:val="00104C68"/>
    <w:rsid w:val="00106CC6"/>
    <w:rsid w:val="00106F3A"/>
    <w:rsid w:val="00107B47"/>
    <w:rsid w:val="00110629"/>
    <w:rsid w:val="00112AC3"/>
    <w:rsid w:val="00113416"/>
    <w:rsid w:val="00114664"/>
    <w:rsid w:val="001149F5"/>
    <w:rsid w:val="00115C64"/>
    <w:rsid w:val="00115F77"/>
    <w:rsid w:val="0011672D"/>
    <w:rsid w:val="00116D7B"/>
    <w:rsid w:val="00117DB9"/>
    <w:rsid w:val="00120091"/>
    <w:rsid w:val="00121650"/>
    <w:rsid w:val="00121E51"/>
    <w:rsid w:val="00122DA8"/>
    <w:rsid w:val="00122F4A"/>
    <w:rsid w:val="00123CDF"/>
    <w:rsid w:val="00124968"/>
    <w:rsid w:val="00124A06"/>
    <w:rsid w:val="00124D19"/>
    <w:rsid w:val="00125047"/>
    <w:rsid w:val="00125582"/>
    <w:rsid w:val="00126D06"/>
    <w:rsid w:val="001303E9"/>
    <w:rsid w:val="001306D6"/>
    <w:rsid w:val="00130D4B"/>
    <w:rsid w:val="00131746"/>
    <w:rsid w:val="001317F2"/>
    <w:rsid w:val="0013190A"/>
    <w:rsid w:val="00131E8F"/>
    <w:rsid w:val="00134412"/>
    <w:rsid w:val="00135399"/>
    <w:rsid w:val="00137724"/>
    <w:rsid w:val="00137ECE"/>
    <w:rsid w:val="00141AFE"/>
    <w:rsid w:val="0014237A"/>
    <w:rsid w:val="00142654"/>
    <w:rsid w:val="00142778"/>
    <w:rsid w:val="00142E7A"/>
    <w:rsid w:val="0014309C"/>
    <w:rsid w:val="00144974"/>
    <w:rsid w:val="00144F45"/>
    <w:rsid w:val="00145D9E"/>
    <w:rsid w:val="00145E58"/>
    <w:rsid w:val="0014621A"/>
    <w:rsid w:val="00146B4D"/>
    <w:rsid w:val="0014768C"/>
    <w:rsid w:val="00150527"/>
    <w:rsid w:val="00150A01"/>
    <w:rsid w:val="001511C0"/>
    <w:rsid w:val="0015136C"/>
    <w:rsid w:val="001515EF"/>
    <w:rsid w:val="00151865"/>
    <w:rsid w:val="00151DC1"/>
    <w:rsid w:val="00152884"/>
    <w:rsid w:val="001532B8"/>
    <w:rsid w:val="00153805"/>
    <w:rsid w:val="00153B84"/>
    <w:rsid w:val="0015401D"/>
    <w:rsid w:val="001569D6"/>
    <w:rsid w:val="00156A6C"/>
    <w:rsid w:val="00156B97"/>
    <w:rsid w:val="00157056"/>
    <w:rsid w:val="00157322"/>
    <w:rsid w:val="001602EA"/>
    <w:rsid w:val="00161C83"/>
    <w:rsid w:val="00162882"/>
    <w:rsid w:val="00163EFA"/>
    <w:rsid w:val="00164531"/>
    <w:rsid w:val="00165389"/>
    <w:rsid w:val="00166E8F"/>
    <w:rsid w:val="00170161"/>
    <w:rsid w:val="00174192"/>
    <w:rsid w:val="00174368"/>
    <w:rsid w:val="001743D1"/>
    <w:rsid w:val="001764E8"/>
    <w:rsid w:val="00176B8C"/>
    <w:rsid w:val="00177B44"/>
    <w:rsid w:val="00184EC4"/>
    <w:rsid w:val="00184F35"/>
    <w:rsid w:val="0018660B"/>
    <w:rsid w:val="0018675B"/>
    <w:rsid w:val="0019000F"/>
    <w:rsid w:val="0019010B"/>
    <w:rsid w:val="001903AD"/>
    <w:rsid w:val="00193668"/>
    <w:rsid w:val="00194441"/>
    <w:rsid w:val="001945DA"/>
    <w:rsid w:val="00195089"/>
    <w:rsid w:val="00195266"/>
    <w:rsid w:val="0019645C"/>
    <w:rsid w:val="00196583"/>
    <w:rsid w:val="00196E32"/>
    <w:rsid w:val="00197623"/>
    <w:rsid w:val="0019773F"/>
    <w:rsid w:val="00197DFA"/>
    <w:rsid w:val="00197F32"/>
    <w:rsid w:val="001A0147"/>
    <w:rsid w:val="001A0832"/>
    <w:rsid w:val="001A1C48"/>
    <w:rsid w:val="001A2609"/>
    <w:rsid w:val="001A30D5"/>
    <w:rsid w:val="001A4936"/>
    <w:rsid w:val="001A55F9"/>
    <w:rsid w:val="001A682B"/>
    <w:rsid w:val="001A71DF"/>
    <w:rsid w:val="001A7667"/>
    <w:rsid w:val="001A795A"/>
    <w:rsid w:val="001B0493"/>
    <w:rsid w:val="001B06F3"/>
    <w:rsid w:val="001B0972"/>
    <w:rsid w:val="001B09C6"/>
    <w:rsid w:val="001B0AAE"/>
    <w:rsid w:val="001B0B0E"/>
    <w:rsid w:val="001B0BB1"/>
    <w:rsid w:val="001B0CD1"/>
    <w:rsid w:val="001B2703"/>
    <w:rsid w:val="001B3369"/>
    <w:rsid w:val="001B43A4"/>
    <w:rsid w:val="001B57CC"/>
    <w:rsid w:val="001B77CF"/>
    <w:rsid w:val="001C0AE4"/>
    <w:rsid w:val="001C0D49"/>
    <w:rsid w:val="001C2C82"/>
    <w:rsid w:val="001C3489"/>
    <w:rsid w:val="001C398E"/>
    <w:rsid w:val="001C4244"/>
    <w:rsid w:val="001C628F"/>
    <w:rsid w:val="001C6E30"/>
    <w:rsid w:val="001C7958"/>
    <w:rsid w:val="001C7A2D"/>
    <w:rsid w:val="001C7B39"/>
    <w:rsid w:val="001D13B3"/>
    <w:rsid w:val="001D2B74"/>
    <w:rsid w:val="001D5756"/>
    <w:rsid w:val="001D6027"/>
    <w:rsid w:val="001D6B74"/>
    <w:rsid w:val="001D79E4"/>
    <w:rsid w:val="001E05EE"/>
    <w:rsid w:val="001E1B54"/>
    <w:rsid w:val="001E200B"/>
    <w:rsid w:val="001E21E3"/>
    <w:rsid w:val="001E307B"/>
    <w:rsid w:val="001E6169"/>
    <w:rsid w:val="001E61C3"/>
    <w:rsid w:val="001E6392"/>
    <w:rsid w:val="001E658D"/>
    <w:rsid w:val="001E70F0"/>
    <w:rsid w:val="001F1467"/>
    <w:rsid w:val="001F1EF0"/>
    <w:rsid w:val="001F36DD"/>
    <w:rsid w:val="001F4D85"/>
    <w:rsid w:val="001F5E11"/>
    <w:rsid w:val="001F6C4E"/>
    <w:rsid w:val="001F7469"/>
    <w:rsid w:val="002011F3"/>
    <w:rsid w:val="00201920"/>
    <w:rsid w:val="002028F6"/>
    <w:rsid w:val="00203648"/>
    <w:rsid w:val="00203B44"/>
    <w:rsid w:val="00204E8E"/>
    <w:rsid w:val="002055DB"/>
    <w:rsid w:val="0020602D"/>
    <w:rsid w:val="00206C06"/>
    <w:rsid w:val="00210697"/>
    <w:rsid w:val="002107FF"/>
    <w:rsid w:val="0021081E"/>
    <w:rsid w:val="0021517D"/>
    <w:rsid w:val="00215230"/>
    <w:rsid w:val="00215A49"/>
    <w:rsid w:val="002177F5"/>
    <w:rsid w:val="00220B05"/>
    <w:rsid w:val="00220B2F"/>
    <w:rsid w:val="002219C8"/>
    <w:rsid w:val="00221F8A"/>
    <w:rsid w:val="0022221E"/>
    <w:rsid w:val="00225002"/>
    <w:rsid w:val="00225649"/>
    <w:rsid w:val="00225B7C"/>
    <w:rsid w:val="002265BF"/>
    <w:rsid w:val="0022740D"/>
    <w:rsid w:val="0022741C"/>
    <w:rsid w:val="00230476"/>
    <w:rsid w:val="002309D7"/>
    <w:rsid w:val="00230F76"/>
    <w:rsid w:val="00231E5D"/>
    <w:rsid w:val="0023203D"/>
    <w:rsid w:val="0023340C"/>
    <w:rsid w:val="00234113"/>
    <w:rsid w:val="00234119"/>
    <w:rsid w:val="0023681C"/>
    <w:rsid w:val="00236F7F"/>
    <w:rsid w:val="00237C8D"/>
    <w:rsid w:val="00240443"/>
    <w:rsid w:val="00240971"/>
    <w:rsid w:val="00241559"/>
    <w:rsid w:val="00241D92"/>
    <w:rsid w:val="00241DB1"/>
    <w:rsid w:val="00242667"/>
    <w:rsid w:val="00243EB1"/>
    <w:rsid w:val="002442A9"/>
    <w:rsid w:val="002445D5"/>
    <w:rsid w:val="002455F8"/>
    <w:rsid w:val="00245BF0"/>
    <w:rsid w:val="002465F1"/>
    <w:rsid w:val="002467F3"/>
    <w:rsid w:val="00246825"/>
    <w:rsid w:val="00247A1D"/>
    <w:rsid w:val="0025109B"/>
    <w:rsid w:val="0025159D"/>
    <w:rsid w:val="0025197D"/>
    <w:rsid w:val="00251AA3"/>
    <w:rsid w:val="0025223D"/>
    <w:rsid w:val="00252898"/>
    <w:rsid w:val="002535DB"/>
    <w:rsid w:val="00253A8D"/>
    <w:rsid w:val="00253B56"/>
    <w:rsid w:val="00253CBD"/>
    <w:rsid w:val="00255EC5"/>
    <w:rsid w:val="0025624F"/>
    <w:rsid w:val="00256B0A"/>
    <w:rsid w:val="00256BB9"/>
    <w:rsid w:val="00261D59"/>
    <w:rsid w:val="00261F42"/>
    <w:rsid w:val="0026205E"/>
    <w:rsid w:val="00264A2C"/>
    <w:rsid w:val="0026779F"/>
    <w:rsid w:val="002703B9"/>
    <w:rsid w:val="00270CEB"/>
    <w:rsid w:val="00270EDE"/>
    <w:rsid w:val="0027190C"/>
    <w:rsid w:val="00272968"/>
    <w:rsid w:val="00272FD0"/>
    <w:rsid w:val="00273B37"/>
    <w:rsid w:val="002753E7"/>
    <w:rsid w:val="00276423"/>
    <w:rsid w:val="00276430"/>
    <w:rsid w:val="00276951"/>
    <w:rsid w:val="00280BC4"/>
    <w:rsid w:val="00282C3B"/>
    <w:rsid w:val="0028337F"/>
    <w:rsid w:val="00283464"/>
    <w:rsid w:val="0028394D"/>
    <w:rsid w:val="00283F5A"/>
    <w:rsid w:val="00285AC5"/>
    <w:rsid w:val="00285FF7"/>
    <w:rsid w:val="00286155"/>
    <w:rsid w:val="002862FE"/>
    <w:rsid w:val="00286B7F"/>
    <w:rsid w:val="00287267"/>
    <w:rsid w:val="002902FF"/>
    <w:rsid w:val="002905FD"/>
    <w:rsid w:val="00290DE4"/>
    <w:rsid w:val="00291AEC"/>
    <w:rsid w:val="00291F2C"/>
    <w:rsid w:val="00293FC8"/>
    <w:rsid w:val="00294404"/>
    <w:rsid w:val="00295345"/>
    <w:rsid w:val="00295BE1"/>
    <w:rsid w:val="00295C73"/>
    <w:rsid w:val="00297137"/>
    <w:rsid w:val="002977E0"/>
    <w:rsid w:val="002A06A2"/>
    <w:rsid w:val="002A1D1E"/>
    <w:rsid w:val="002A286D"/>
    <w:rsid w:val="002A3045"/>
    <w:rsid w:val="002A3ACE"/>
    <w:rsid w:val="002A4092"/>
    <w:rsid w:val="002A5759"/>
    <w:rsid w:val="002A5AF7"/>
    <w:rsid w:val="002A69DD"/>
    <w:rsid w:val="002A7D23"/>
    <w:rsid w:val="002B02B9"/>
    <w:rsid w:val="002B0BDF"/>
    <w:rsid w:val="002B1C43"/>
    <w:rsid w:val="002B274E"/>
    <w:rsid w:val="002B3577"/>
    <w:rsid w:val="002B3B15"/>
    <w:rsid w:val="002B540D"/>
    <w:rsid w:val="002B69B8"/>
    <w:rsid w:val="002B7397"/>
    <w:rsid w:val="002B7B8F"/>
    <w:rsid w:val="002B7FCD"/>
    <w:rsid w:val="002C0545"/>
    <w:rsid w:val="002C1771"/>
    <w:rsid w:val="002C1B9B"/>
    <w:rsid w:val="002C3009"/>
    <w:rsid w:val="002C3119"/>
    <w:rsid w:val="002C3F8F"/>
    <w:rsid w:val="002C41A7"/>
    <w:rsid w:val="002C43AC"/>
    <w:rsid w:val="002C5265"/>
    <w:rsid w:val="002C71AF"/>
    <w:rsid w:val="002C7E6C"/>
    <w:rsid w:val="002D00FD"/>
    <w:rsid w:val="002D061F"/>
    <w:rsid w:val="002D2044"/>
    <w:rsid w:val="002D2C18"/>
    <w:rsid w:val="002D4DA3"/>
    <w:rsid w:val="002D5D6C"/>
    <w:rsid w:val="002D639F"/>
    <w:rsid w:val="002E38EF"/>
    <w:rsid w:val="002E3ED3"/>
    <w:rsid w:val="002E5EBE"/>
    <w:rsid w:val="002E7E4B"/>
    <w:rsid w:val="002F2403"/>
    <w:rsid w:val="002F2C9F"/>
    <w:rsid w:val="002F2F72"/>
    <w:rsid w:val="002F38E8"/>
    <w:rsid w:val="002F3A2C"/>
    <w:rsid w:val="002F3C57"/>
    <w:rsid w:val="002F4517"/>
    <w:rsid w:val="002F47ED"/>
    <w:rsid w:val="002F532B"/>
    <w:rsid w:val="002F76CD"/>
    <w:rsid w:val="002F7B1D"/>
    <w:rsid w:val="003009ED"/>
    <w:rsid w:val="003011D2"/>
    <w:rsid w:val="00301AD2"/>
    <w:rsid w:val="003021EF"/>
    <w:rsid w:val="003022EC"/>
    <w:rsid w:val="00302A93"/>
    <w:rsid w:val="00302C1A"/>
    <w:rsid w:val="003056E8"/>
    <w:rsid w:val="00305CE3"/>
    <w:rsid w:val="003070DF"/>
    <w:rsid w:val="00307222"/>
    <w:rsid w:val="00307789"/>
    <w:rsid w:val="0031024B"/>
    <w:rsid w:val="00310270"/>
    <w:rsid w:val="00310733"/>
    <w:rsid w:val="00310A2C"/>
    <w:rsid w:val="00310E2A"/>
    <w:rsid w:val="00311EF0"/>
    <w:rsid w:val="00312209"/>
    <w:rsid w:val="00312F17"/>
    <w:rsid w:val="00313260"/>
    <w:rsid w:val="00314B3A"/>
    <w:rsid w:val="0031513B"/>
    <w:rsid w:val="003157A4"/>
    <w:rsid w:val="00316872"/>
    <w:rsid w:val="003169A6"/>
    <w:rsid w:val="003204E8"/>
    <w:rsid w:val="00320925"/>
    <w:rsid w:val="0032095A"/>
    <w:rsid w:val="00320A20"/>
    <w:rsid w:val="003211B5"/>
    <w:rsid w:val="003212E0"/>
    <w:rsid w:val="0032209C"/>
    <w:rsid w:val="003227B0"/>
    <w:rsid w:val="0032299F"/>
    <w:rsid w:val="003230A5"/>
    <w:rsid w:val="003244A7"/>
    <w:rsid w:val="00327382"/>
    <w:rsid w:val="00330941"/>
    <w:rsid w:val="0033226A"/>
    <w:rsid w:val="003324E3"/>
    <w:rsid w:val="0033398D"/>
    <w:rsid w:val="00333DBE"/>
    <w:rsid w:val="0033556F"/>
    <w:rsid w:val="00336F5A"/>
    <w:rsid w:val="00337A3D"/>
    <w:rsid w:val="00342BC0"/>
    <w:rsid w:val="00342C76"/>
    <w:rsid w:val="00343197"/>
    <w:rsid w:val="00343419"/>
    <w:rsid w:val="00343632"/>
    <w:rsid w:val="00343C05"/>
    <w:rsid w:val="00344A35"/>
    <w:rsid w:val="00344FA8"/>
    <w:rsid w:val="00345A27"/>
    <w:rsid w:val="00345E4B"/>
    <w:rsid w:val="00346355"/>
    <w:rsid w:val="003471D4"/>
    <w:rsid w:val="0034790A"/>
    <w:rsid w:val="003503E8"/>
    <w:rsid w:val="00350A19"/>
    <w:rsid w:val="00350F89"/>
    <w:rsid w:val="00351419"/>
    <w:rsid w:val="003522C6"/>
    <w:rsid w:val="003523D3"/>
    <w:rsid w:val="00352AB1"/>
    <w:rsid w:val="0035305A"/>
    <w:rsid w:val="00353AD3"/>
    <w:rsid w:val="00353CDC"/>
    <w:rsid w:val="00354B71"/>
    <w:rsid w:val="003562D6"/>
    <w:rsid w:val="00357556"/>
    <w:rsid w:val="003612CB"/>
    <w:rsid w:val="00362928"/>
    <w:rsid w:val="00362D71"/>
    <w:rsid w:val="00363AFD"/>
    <w:rsid w:val="0036519C"/>
    <w:rsid w:val="00365C10"/>
    <w:rsid w:val="003679AE"/>
    <w:rsid w:val="0037191E"/>
    <w:rsid w:val="00371E35"/>
    <w:rsid w:val="00372EE7"/>
    <w:rsid w:val="003737CF"/>
    <w:rsid w:val="003774CE"/>
    <w:rsid w:val="00377E66"/>
    <w:rsid w:val="003801FC"/>
    <w:rsid w:val="00380A56"/>
    <w:rsid w:val="00383867"/>
    <w:rsid w:val="00384E0F"/>
    <w:rsid w:val="00387BCA"/>
    <w:rsid w:val="00387CF4"/>
    <w:rsid w:val="00387E88"/>
    <w:rsid w:val="003905A7"/>
    <w:rsid w:val="003906B3"/>
    <w:rsid w:val="00390D78"/>
    <w:rsid w:val="00391937"/>
    <w:rsid w:val="00391C56"/>
    <w:rsid w:val="00391DB9"/>
    <w:rsid w:val="003932E0"/>
    <w:rsid w:val="003959BB"/>
    <w:rsid w:val="00395C1E"/>
    <w:rsid w:val="00396352"/>
    <w:rsid w:val="003968D6"/>
    <w:rsid w:val="00396A41"/>
    <w:rsid w:val="00396E8A"/>
    <w:rsid w:val="0039777E"/>
    <w:rsid w:val="003A0271"/>
    <w:rsid w:val="003A0C52"/>
    <w:rsid w:val="003A2CD1"/>
    <w:rsid w:val="003A3D09"/>
    <w:rsid w:val="003A4285"/>
    <w:rsid w:val="003A569D"/>
    <w:rsid w:val="003A5860"/>
    <w:rsid w:val="003A6F03"/>
    <w:rsid w:val="003A7A44"/>
    <w:rsid w:val="003B0152"/>
    <w:rsid w:val="003B0F0C"/>
    <w:rsid w:val="003B1988"/>
    <w:rsid w:val="003B1D32"/>
    <w:rsid w:val="003B207F"/>
    <w:rsid w:val="003B2251"/>
    <w:rsid w:val="003B288B"/>
    <w:rsid w:val="003B3F58"/>
    <w:rsid w:val="003B4300"/>
    <w:rsid w:val="003B4A27"/>
    <w:rsid w:val="003B5149"/>
    <w:rsid w:val="003B587D"/>
    <w:rsid w:val="003B5DD3"/>
    <w:rsid w:val="003B65F9"/>
    <w:rsid w:val="003B6FAA"/>
    <w:rsid w:val="003B7A46"/>
    <w:rsid w:val="003C0031"/>
    <w:rsid w:val="003C0B72"/>
    <w:rsid w:val="003C0DEA"/>
    <w:rsid w:val="003C10D7"/>
    <w:rsid w:val="003C11A2"/>
    <w:rsid w:val="003C18DB"/>
    <w:rsid w:val="003C29A2"/>
    <w:rsid w:val="003C309D"/>
    <w:rsid w:val="003C3663"/>
    <w:rsid w:val="003C3B6B"/>
    <w:rsid w:val="003C495E"/>
    <w:rsid w:val="003C4ECF"/>
    <w:rsid w:val="003C50AD"/>
    <w:rsid w:val="003C52DD"/>
    <w:rsid w:val="003C6C20"/>
    <w:rsid w:val="003C74D1"/>
    <w:rsid w:val="003C757C"/>
    <w:rsid w:val="003C7B1C"/>
    <w:rsid w:val="003D00AB"/>
    <w:rsid w:val="003D138B"/>
    <w:rsid w:val="003D2144"/>
    <w:rsid w:val="003D27A9"/>
    <w:rsid w:val="003D32F1"/>
    <w:rsid w:val="003D4C66"/>
    <w:rsid w:val="003D4D47"/>
    <w:rsid w:val="003D536F"/>
    <w:rsid w:val="003D62D0"/>
    <w:rsid w:val="003D6477"/>
    <w:rsid w:val="003D6608"/>
    <w:rsid w:val="003D671C"/>
    <w:rsid w:val="003D68FC"/>
    <w:rsid w:val="003D6B6C"/>
    <w:rsid w:val="003D7C3F"/>
    <w:rsid w:val="003D7C54"/>
    <w:rsid w:val="003E0393"/>
    <w:rsid w:val="003E10E0"/>
    <w:rsid w:val="003E14A6"/>
    <w:rsid w:val="003E1890"/>
    <w:rsid w:val="003E4E77"/>
    <w:rsid w:val="003E562B"/>
    <w:rsid w:val="003E6D39"/>
    <w:rsid w:val="003E70A5"/>
    <w:rsid w:val="003E7931"/>
    <w:rsid w:val="003F1045"/>
    <w:rsid w:val="003F2350"/>
    <w:rsid w:val="003F2802"/>
    <w:rsid w:val="003F2966"/>
    <w:rsid w:val="003F3545"/>
    <w:rsid w:val="003F43C9"/>
    <w:rsid w:val="003F6748"/>
    <w:rsid w:val="003F7673"/>
    <w:rsid w:val="003F79FE"/>
    <w:rsid w:val="003F7A14"/>
    <w:rsid w:val="004006C8"/>
    <w:rsid w:val="00400F5D"/>
    <w:rsid w:val="00403078"/>
    <w:rsid w:val="004038C7"/>
    <w:rsid w:val="004039B4"/>
    <w:rsid w:val="00403F09"/>
    <w:rsid w:val="00404271"/>
    <w:rsid w:val="0040552C"/>
    <w:rsid w:val="00405ABA"/>
    <w:rsid w:val="00406258"/>
    <w:rsid w:val="004069DE"/>
    <w:rsid w:val="00407413"/>
    <w:rsid w:val="00407799"/>
    <w:rsid w:val="00407B0D"/>
    <w:rsid w:val="00407D85"/>
    <w:rsid w:val="004113D0"/>
    <w:rsid w:val="00411C98"/>
    <w:rsid w:val="00413390"/>
    <w:rsid w:val="004140F3"/>
    <w:rsid w:val="00414758"/>
    <w:rsid w:val="004158B2"/>
    <w:rsid w:val="00415DD8"/>
    <w:rsid w:val="00415EB7"/>
    <w:rsid w:val="00416846"/>
    <w:rsid w:val="00416954"/>
    <w:rsid w:val="00416EF7"/>
    <w:rsid w:val="0041702E"/>
    <w:rsid w:val="00417238"/>
    <w:rsid w:val="00417A5A"/>
    <w:rsid w:val="004200B1"/>
    <w:rsid w:val="00420CC6"/>
    <w:rsid w:val="00420E1A"/>
    <w:rsid w:val="00421EE6"/>
    <w:rsid w:val="00422AA5"/>
    <w:rsid w:val="004246EE"/>
    <w:rsid w:val="00424855"/>
    <w:rsid w:val="004304BB"/>
    <w:rsid w:val="004320A1"/>
    <w:rsid w:val="00432BCB"/>
    <w:rsid w:val="00432C43"/>
    <w:rsid w:val="0043356F"/>
    <w:rsid w:val="00433E60"/>
    <w:rsid w:val="004352A6"/>
    <w:rsid w:val="004361F1"/>
    <w:rsid w:val="0043687B"/>
    <w:rsid w:val="00436A6E"/>
    <w:rsid w:val="00436E43"/>
    <w:rsid w:val="00436F60"/>
    <w:rsid w:val="00437031"/>
    <w:rsid w:val="00437CF5"/>
    <w:rsid w:val="00440D67"/>
    <w:rsid w:val="0044154D"/>
    <w:rsid w:val="0044191A"/>
    <w:rsid w:val="0044209A"/>
    <w:rsid w:val="00442AB0"/>
    <w:rsid w:val="00443E92"/>
    <w:rsid w:val="00443FAA"/>
    <w:rsid w:val="00447185"/>
    <w:rsid w:val="0044737A"/>
    <w:rsid w:val="004505A4"/>
    <w:rsid w:val="00452369"/>
    <w:rsid w:val="00452679"/>
    <w:rsid w:val="00452C06"/>
    <w:rsid w:val="0045682C"/>
    <w:rsid w:val="00457002"/>
    <w:rsid w:val="0045703B"/>
    <w:rsid w:val="00457497"/>
    <w:rsid w:val="00460090"/>
    <w:rsid w:val="00460406"/>
    <w:rsid w:val="00460E5D"/>
    <w:rsid w:val="004614FC"/>
    <w:rsid w:val="00463070"/>
    <w:rsid w:val="00463377"/>
    <w:rsid w:val="00463B03"/>
    <w:rsid w:val="004642CD"/>
    <w:rsid w:val="00464666"/>
    <w:rsid w:val="0046492B"/>
    <w:rsid w:val="0046522D"/>
    <w:rsid w:val="00465627"/>
    <w:rsid w:val="00465CA8"/>
    <w:rsid w:val="004666BD"/>
    <w:rsid w:val="00466C20"/>
    <w:rsid w:val="0046742E"/>
    <w:rsid w:val="00467E14"/>
    <w:rsid w:val="00470A9A"/>
    <w:rsid w:val="00470C1B"/>
    <w:rsid w:val="00471864"/>
    <w:rsid w:val="00471C86"/>
    <w:rsid w:val="00471F0F"/>
    <w:rsid w:val="004720F1"/>
    <w:rsid w:val="00472183"/>
    <w:rsid w:val="004727A5"/>
    <w:rsid w:val="00473829"/>
    <w:rsid w:val="00475752"/>
    <w:rsid w:val="004759A3"/>
    <w:rsid w:val="0047770B"/>
    <w:rsid w:val="004800CD"/>
    <w:rsid w:val="00480583"/>
    <w:rsid w:val="004836B5"/>
    <w:rsid w:val="00483E37"/>
    <w:rsid w:val="00484D1D"/>
    <w:rsid w:val="00485EE1"/>
    <w:rsid w:val="00486B28"/>
    <w:rsid w:val="00487EF8"/>
    <w:rsid w:val="00490110"/>
    <w:rsid w:val="00490BEF"/>
    <w:rsid w:val="0049114A"/>
    <w:rsid w:val="004924C6"/>
    <w:rsid w:val="00492C2D"/>
    <w:rsid w:val="00492CE3"/>
    <w:rsid w:val="004936DD"/>
    <w:rsid w:val="004942E7"/>
    <w:rsid w:val="0049446F"/>
    <w:rsid w:val="004971F5"/>
    <w:rsid w:val="004A00C1"/>
    <w:rsid w:val="004A08B8"/>
    <w:rsid w:val="004A0EB5"/>
    <w:rsid w:val="004A15D6"/>
    <w:rsid w:val="004A2C1E"/>
    <w:rsid w:val="004A47CB"/>
    <w:rsid w:val="004A4F97"/>
    <w:rsid w:val="004A6A46"/>
    <w:rsid w:val="004A7F3F"/>
    <w:rsid w:val="004B08EF"/>
    <w:rsid w:val="004B11D5"/>
    <w:rsid w:val="004B1E37"/>
    <w:rsid w:val="004B3A8B"/>
    <w:rsid w:val="004B40FE"/>
    <w:rsid w:val="004B45DD"/>
    <w:rsid w:val="004B4868"/>
    <w:rsid w:val="004B5C37"/>
    <w:rsid w:val="004B6C8D"/>
    <w:rsid w:val="004C4161"/>
    <w:rsid w:val="004C4417"/>
    <w:rsid w:val="004C5651"/>
    <w:rsid w:val="004C5A6D"/>
    <w:rsid w:val="004C6AF3"/>
    <w:rsid w:val="004C7A96"/>
    <w:rsid w:val="004D0D58"/>
    <w:rsid w:val="004D149A"/>
    <w:rsid w:val="004D2AEE"/>
    <w:rsid w:val="004D3A6D"/>
    <w:rsid w:val="004D3D12"/>
    <w:rsid w:val="004D3DB0"/>
    <w:rsid w:val="004D4047"/>
    <w:rsid w:val="004D492E"/>
    <w:rsid w:val="004D4BDC"/>
    <w:rsid w:val="004D4C94"/>
    <w:rsid w:val="004D57A0"/>
    <w:rsid w:val="004D68E8"/>
    <w:rsid w:val="004D7D09"/>
    <w:rsid w:val="004E05AE"/>
    <w:rsid w:val="004E154B"/>
    <w:rsid w:val="004E2C63"/>
    <w:rsid w:val="004E2E48"/>
    <w:rsid w:val="004E4CEC"/>
    <w:rsid w:val="004E6FF9"/>
    <w:rsid w:val="004E77EE"/>
    <w:rsid w:val="004E7D74"/>
    <w:rsid w:val="004F0239"/>
    <w:rsid w:val="004F16EA"/>
    <w:rsid w:val="004F1A50"/>
    <w:rsid w:val="004F272C"/>
    <w:rsid w:val="004F2DA2"/>
    <w:rsid w:val="004F3EC0"/>
    <w:rsid w:val="004F6647"/>
    <w:rsid w:val="0050177C"/>
    <w:rsid w:val="00503672"/>
    <w:rsid w:val="00503857"/>
    <w:rsid w:val="0050419D"/>
    <w:rsid w:val="00505DC2"/>
    <w:rsid w:val="0050771A"/>
    <w:rsid w:val="00510934"/>
    <w:rsid w:val="005118FB"/>
    <w:rsid w:val="00512C44"/>
    <w:rsid w:val="00513B3F"/>
    <w:rsid w:val="00513FDA"/>
    <w:rsid w:val="0051464B"/>
    <w:rsid w:val="00516151"/>
    <w:rsid w:val="005161F6"/>
    <w:rsid w:val="00516219"/>
    <w:rsid w:val="005166F6"/>
    <w:rsid w:val="00517DA2"/>
    <w:rsid w:val="005211D9"/>
    <w:rsid w:val="00521852"/>
    <w:rsid w:val="00521F13"/>
    <w:rsid w:val="00521FB5"/>
    <w:rsid w:val="0052241B"/>
    <w:rsid w:val="0052249E"/>
    <w:rsid w:val="005224A5"/>
    <w:rsid w:val="00525CDB"/>
    <w:rsid w:val="00525D95"/>
    <w:rsid w:val="005263AF"/>
    <w:rsid w:val="005265C8"/>
    <w:rsid w:val="00527106"/>
    <w:rsid w:val="005304F7"/>
    <w:rsid w:val="00530FA3"/>
    <w:rsid w:val="005348F5"/>
    <w:rsid w:val="00535C46"/>
    <w:rsid w:val="00535F13"/>
    <w:rsid w:val="00535F85"/>
    <w:rsid w:val="0053635E"/>
    <w:rsid w:val="005366AF"/>
    <w:rsid w:val="00537CD3"/>
    <w:rsid w:val="00537CE0"/>
    <w:rsid w:val="0054038F"/>
    <w:rsid w:val="0054297C"/>
    <w:rsid w:val="0054354E"/>
    <w:rsid w:val="00543C6D"/>
    <w:rsid w:val="00543F0D"/>
    <w:rsid w:val="005442E4"/>
    <w:rsid w:val="0054497A"/>
    <w:rsid w:val="005462FF"/>
    <w:rsid w:val="005467CE"/>
    <w:rsid w:val="00550606"/>
    <w:rsid w:val="00551451"/>
    <w:rsid w:val="00551F2C"/>
    <w:rsid w:val="00552581"/>
    <w:rsid w:val="00552D11"/>
    <w:rsid w:val="00552D8E"/>
    <w:rsid w:val="00553D39"/>
    <w:rsid w:val="0055430A"/>
    <w:rsid w:val="00554E02"/>
    <w:rsid w:val="00555312"/>
    <w:rsid w:val="0055649C"/>
    <w:rsid w:val="0055685E"/>
    <w:rsid w:val="00556EAD"/>
    <w:rsid w:val="00560957"/>
    <w:rsid w:val="005619B5"/>
    <w:rsid w:val="00561B80"/>
    <w:rsid w:val="0056218F"/>
    <w:rsid w:val="005641BC"/>
    <w:rsid w:val="005643BD"/>
    <w:rsid w:val="00564C26"/>
    <w:rsid w:val="00565037"/>
    <w:rsid w:val="00565A80"/>
    <w:rsid w:val="00567145"/>
    <w:rsid w:val="005703A2"/>
    <w:rsid w:val="0057086D"/>
    <w:rsid w:val="00571A22"/>
    <w:rsid w:val="005739DE"/>
    <w:rsid w:val="005744DC"/>
    <w:rsid w:val="00574A7B"/>
    <w:rsid w:val="0057607D"/>
    <w:rsid w:val="0057626D"/>
    <w:rsid w:val="00576862"/>
    <w:rsid w:val="00580D6E"/>
    <w:rsid w:val="005817FB"/>
    <w:rsid w:val="00581F4D"/>
    <w:rsid w:val="00582488"/>
    <w:rsid w:val="00583A4F"/>
    <w:rsid w:val="005858B0"/>
    <w:rsid w:val="00585D35"/>
    <w:rsid w:val="0058777A"/>
    <w:rsid w:val="00587D6C"/>
    <w:rsid w:val="00590546"/>
    <w:rsid w:val="005911CA"/>
    <w:rsid w:val="00591378"/>
    <w:rsid w:val="00593634"/>
    <w:rsid w:val="00596EF8"/>
    <w:rsid w:val="005971D5"/>
    <w:rsid w:val="005971D9"/>
    <w:rsid w:val="005A0B12"/>
    <w:rsid w:val="005A0ECE"/>
    <w:rsid w:val="005A2ED0"/>
    <w:rsid w:val="005A43D7"/>
    <w:rsid w:val="005A5002"/>
    <w:rsid w:val="005A5D3A"/>
    <w:rsid w:val="005A6F6F"/>
    <w:rsid w:val="005A75A8"/>
    <w:rsid w:val="005B29D6"/>
    <w:rsid w:val="005B3474"/>
    <w:rsid w:val="005B5C6A"/>
    <w:rsid w:val="005B5F85"/>
    <w:rsid w:val="005B6286"/>
    <w:rsid w:val="005B6BB2"/>
    <w:rsid w:val="005B7EE6"/>
    <w:rsid w:val="005C21CF"/>
    <w:rsid w:val="005C25D4"/>
    <w:rsid w:val="005C3D40"/>
    <w:rsid w:val="005C400F"/>
    <w:rsid w:val="005C4015"/>
    <w:rsid w:val="005C48DF"/>
    <w:rsid w:val="005C4D7B"/>
    <w:rsid w:val="005C54D5"/>
    <w:rsid w:val="005C6520"/>
    <w:rsid w:val="005C6DE5"/>
    <w:rsid w:val="005D046E"/>
    <w:rsid w:val="005D1736"/>
    <w:rsid w:val="005D2F09"/>
    <w:rsid w:val="005D376A"/>
    <w:rsid w:val="005D396E"/>
    <w:rsid w:val="005D3D9E"/>
    <w:rsid w:val="005D5967"/>
    <w:rsid w:val="005D65B1"/>
    <w:rsid w:val="005D6DE7"/>
    <w:rsid w:val="005D75D3"/>
    <w:rsid w:val="005E082E"/>
    <w:rsid w:val="005E3B6F"/>
    <w:rsid w:val="005E472D"/>
    <w:rsid w:val="005E4B3A"/>
    <w:rsid w:val="005E5254"/>
    <w:rsid w:val="005E5B90"/>
    <w:rsid w:val="005E5F0E"/>
    <w:rsid w:val="005E63A7"/>
    <w:rsid w:val="005E6D42"/>
    <w:rsid w:val="005F05B5"/>
    <w:rsid w:val="005F080F"/>
    <w:rsid w:val="005F0C66"/>
    <w:rsid w:val="005F36E6"/>
    <w:rsid w:val="005F4337"/>
    <w:rsid w:val="005F475B"/>
    <w:rsid w:val="005F4BCC"/>
    <w:rsid w:val="005F5304"/>
    <w:rsid w:val="005F76EA"/>
    <w:rsid w:val="006008FD"/>
    <w:rsid w:val="006018D4"/>
    <w:rsid w:val="00601DA2"/>
    <w:rsid w:val="00601FC6"/>
    <w:rsid w:val="00602157"/>
    <w:rsid w:val="00602B33"/>
    <w:rsid w:val="00602CAB"/>
    <w:rsid w:val="00603527"/>
    <w:rsid w:val="00604642"/>
    <w:rsid w:val="00605814"/>
    <w:rsid w:val="00605A6E"/>
    <w:rsid w:val="00605C60"/>
    <w:rsid w:val="00606859"/>
    <w:rsid w:val="00606D53"/>
    <w:rsid w:val="00607493"/>
    <w:rsid w:val="00607F0E"/>
    <w:rsid w:val="00607FEE"/>
    <w:rsid w:val="006118A3"/>
    <w:rsid w:val="006119BE"/>
    <w:rsid w:val="00612068"/>
    <w:rsid w:val="00612406"/>
    <w:rsid w:val="006141C6"/>
    <w:rsid w:val="00614E20"/>
    <w:rsid w:val="00615948"/>
    <w:rsid w:val="00615E04"/>
    <w:rsid w:val="006200F4"/>
    <w:rsid w:val="006207A5"/>
    <w:rsid w:val="00620840"/>
    <w:rsid w:val="00622769"/>
    <w:rsid w:val="00622A66"/>
    <w:rsid w:val="0062494F"/>
    <w:rsid w:val="006257A5"/>
    <w:rsid w:val="00626345"/>
    <w:rsid w:val="00626522"/>
    <w:rsid w:val="00626564"/>
    <w:rsid w:val="00626AA9"/>
    <w:rsid w:val="0063153C"/>
    <w:rsid w:val="00631D7D"/>
    <w:rsid w:val="006320FE"/>
    <w:rsid w:val="00633B19"/>
    <w:rsid w:val="00633BC8"/>
    <w:rsid w:val="00633E2A"/>
    <w:rsid w:val="00634704"/>
    <w:rsid w:val="00634B93"/>
    <w:rsid w:val="00635B09"/>
    <w:rsid w:val="0063712E"/>
    <w:rsid w:val="00637794"/>
    <w:rsid w:val="00637BCB"/>
    <w:rsid w:val="00640563"/>
    <w:rsid w:val="00640D95"/>
    <w:rsid w:val="00640F57"/>
    <w:rsid w:val="006410B4"/>
    <w:rsid w:val="00641CDE"/>
    <w:rsid w:val="006424EF"/>
    <w:rsid w:val="00642B52"/>
    <w:rsid w:val="00642B61"/>
    <w:rsid w:val="006435C9"/>
    <w:rsid w:val="006435E6"/>
    <w:rsid w:val="00643AFF"/>
    <w:rsid w:val="0064423E"/>
    <w:rsid w:val="006448E7"/>
    <w:rsid w:val="00646652"/>
    <w:rsid w:val="006470F4"/>
    <w:rsid w:val="006471E3"/>
    <w:rsid w:val="00647354"/>
    <w:rsid w:val="006517C7"/>
    <w:rsid w:val="0065221B"/>
    <w:rsid w:val="0065236C"/>
    <w:rsid w:val="00652390"/>
    <w:rsid w:val="00652A16"/>
    <w:rsid w:val="00652B7C"/>
    <w:rsid w:val="00652CE6"/>
    <w:rsid w:val="00655B49"/>
    <w:rsid w:val="00655E85"/>
    <w:rsid w:val="006560D9"/>
    <w:rsid w:val="00657CBA"/>
    <w:rsid w:val="006603F3"/>
    <w:rsid w:val="006607DD"/>
    <w:rsid w:val="006624DC"/>
    <w:rsid w:val="006633EB"/>
    <w:rsid w:val="006634AF"/>
    <w:rsid w:val="0066439C"/>
    <w:rsid w:val="006644B1"/>
    <w:rsid w:val="00664F99"/>
    <w:rsid w:val="00665070"/>
    <w:rsid w:val="006675DA"/>
    <w:rsid w:val="00667F17"/>
    <w:rsid w:val="00671BA8"/>
    <w:rsid w:val="006731A0"/>
    <w:rsid w:val="00674885"/>
    <w:rsid w:val="00674ABA"/>
    <w:rsid w:val="006759ED"/>
    <w:rsid w:val="00676599"/>
    <w:rsid w:val="00676F95"/>
    <w:rsid w:val="00677543"/>
    <w:rsid w:val="00680519"/>
    <w:rsid w:val="00680C00"/>
    <w:rsid w:val="00680CC5"/>
    <w:rsid w:val="006818FB"/>
    <w:rsid w:val="00681BF2"/>
    <w:rsid w:val="00681D5A"/>
    <w:rsid w:val="00681F69"/>
    <w:rsid w:val="00682640"/>
    <w:rsid w:val="00682A98"/>
    <w:rsid w:val="00683686"/>
    <w:rsid w:val="00683772"/>
    <w:rsid w:val="00683A61"/>
    <w:rsid w:val="00683D0B"/>
    <w:rsid w:val="006845F0"/>
    <w:rsid w:val="006847F3"/>
    <w:rsid w:val="00684991"/>
    <w:rsid w:val="00685CB9"/>
    <w:rsid w:val="00686E3E"/>
    <w:rsid w:val="006902A9"/>
    <w:rsid w:val="00690BE3"/>
    <w:rsid w:val="0069154A"/>
    <w:rsid w:val="0069174E"/>
    <w:rsid w:val="00693D12"/>
    <w:rsid w:val="00694FF6"/>
    <w:rsid w:val="006957D4"/>
    <w:rsid w:val="0069686D"/>
    <w:rsid w:val="00696EBF"/>
    <w:rsid w:val="00696FFE"/>
    <w:rsid w:val="00697E48"/>
    <w:rsid w:val="006A0199"/>
    <w:rsid w:val="006A1704"/>
    <w:rsid w:val="006A2961"/>
    <w:rsid w:val="006A2D4D"/>
    <w:rsid w:val="006A3DED"/>
    <w:rsid w:val="006A5EA4"/>
    <w:rsid w:val="006A68C2"/>
    <w:rsid w:val="006B0F4D"/>
    <w:rsid w:val="006B20A4"/>
    <w:rsid w:val="006B3614"/>
    <w:rsid w:val="006B3C0E"/>
    <w:rsid w:val="006C100D"/>
    <w:rsid w:val="006C39A3"/>
    <w:rsid w:val="006C453C"/>
    <w:rsid w:val="006C6BB3"/>
    <w:rsid w:val="006C715D"/>
    <w:rsid w:val="006C7E92"/>
    <w:rsid w:val="006D02ED"/>
    <w:rsid w:val="006D08BD"/>
    <w:rsid w:val="006D137C"/>
    <w:rsid w:val="006D1484"/>
    <w:rsid w:val="006D172E"/>
    <w:rsid w:val="006D5744"/>
    <w:rsid w:val="006D59BC"/>
    <w:rsid w:val="006D6F7F"/>
    <w:rsid w:val="006D731F"/>
    <w:rsid w:val="006E03F9"/>
    <w:rsid w:val="006E09B5"/>
    <w:rsid w:val="006E13B0"/>
    <w:rsid w:val="006E17E3"/>
    <w:rsid w:val="006E327F"/>
    <w:rsid w:val="006E3795"/>
    <w:rsid w:val="006E3CEC"/>
    <w:rsid w:val="006E44CF"/>
    <w:rsid w:val="006E4A21"/>
    <w:rsid w:val="006E635F"/>
    <w:rsid w:val="006E65EA"/>
    <w:rsid w:val="006E6EC8"/>
    <w:rsid w:val="006E70DD"/>
    <w:rsid w:val="006F1824"/>
    <w:rsid w:val="006F1F9C"/>
    <w:rsid w:val="006F2D24"/>
    <w:rsid w:val="006F310D"/>
    <w:rsid w:val="006F4197"/>
    <w:rsid w:val="006F5FBB"/>
    <w:rsid w:val="006F6014"/>
    <w:rsid w:val="006F6249"/>
    <w:rsid w:val="006F63C5"/>
    <w:rsid w:val="006F7636"/>
    <w:rsid w:val="006F7C97"/>
    <w:rsid w:val="006F7EA6"/>
    <w:rsid w:val="00702F03"/>
    <w:rsid w:val="0070434A"/>
    <w:rsid w:val="007060EA"/>
    <w:rsid w:val="0070695D"/>
    <w:rsid w:val="007104CE"/>
    <w:rsid w:val="007106D5"/>
    <w:rsid w:val="00712407"/>
    <w:rsid w:val="00713D05"/>
    <w:rsid w:val="00714422"/>
    <w:rsid w:val="00720D01"/>
    <w:rsid w:val="007210F2"/>
    <w:rsid w:val="0072140C"/>
    <w:rsid w:val="00722267"/>
    <w:rsid w:val="00722B05"/>
    <w:rsid w:val="007234CC"/>
    <w:rsid w:val="00724232"/>
    <w:rsid w:val="007243C3"/>
    <w:rsid w:val="007247C4"/>
    <w:rsid w:val="00726045"/>
    <w:rsid w:val="00726F79"/>
    <w:rsid w:val="0073005E"/>
    <w:rsid w:val="00731867"/>
    <w:rsid w:val="00731D1C"/>
    <w:rsid w:val="00733CD8"/>
    <w:rsid w:val="00734892"/>
    <w:rsid w:val="00734947"/>
    <w:rsid w:val="007367D4"/>
    <w:rsid w:val="00736867"/>
    <w:rsid w:val="00740EE7"/>
    <w:rsid w:val="00741671"/>
    <w:rsid w:val="007416A5"/>
    <w:rsid w:val="007419FA"/>
    <w:rsid w:val="0074275C"/>
    <w:rsid w:val="00742FA1"/>
    <w:rsid w:val="00742FF5"/>
    <w:rsid w:val="007430BF"/>
    <w:rsid w:val="007430F7"/>
    <w:rsid w:val="00743ED7"/>
    <w:rsid w:val="00744648"/>
    <w:rsid w:val="007446FA"/>
    <w:rsid w:val="0074632C"/>
    <w:rsid w:val="0075121C"/>
    <w:rsid w:val="007519CE"/>
    <w:rsid w:val="00752D48"/>
    <w:rsid w:val="00753CAF"/>
    <w:rsid w:val="0075409D"/>
    <w:rsid w:val="00754B72"/>
    <w:rsid w:val="00755352"/>
    <w:rsid w:val="00756157"/>
    <w:rsid w:val="00756504"/>
    <w:rsid w:val="00757A2C"/>
    <w:rsid w:val="00761A83"/>
    <w:rsid w:val="00761D44"/>
    <w:rsid w:val="00762237"/>
    <w:rsid w:val="0076397D"/>
    <w:rsid w:val="00763AF5"/>
    <w:rsid w:val="00764343"/>
    <w:rsid w:val="00764ABB"/>
    <w:rsid w:val="0076577D"/>
    <w:rsid w:val="00765DF8"/>
    <w:rsid w:val="00765EB0"/>
    <w:rsid w:val="007664BD"/>
    <w:rsid w:val="007668DF"/>
    <w:rsid w:val="00770BC4"/>
    <w:rsid w:val="007718A2"/>
    <w:rsid w:val="00772264"/>
    <w:rsid w:val="007722C6"/>
    <w:rsid w:val="00772CE4"/>
    <w:rsid w:val="00772E43"/>
    <w:rsid w:val="00773708"/>
    <w:rsid w:val="00774204"/>
    <w:rsid w:val="0077640A"/>
    <w:rsid w:val="00776B85"/>
    <w:rsid w:val="00777053"/>
    <w:rsid w:val="007770A1"/>
    <w:rsid w:val="007772AE"/>
    <w:rsid w:val="00777509"/>
    <w:rsid w:val="00777A33"/>
    <w:rsid w:val="007800E6"/>
    <w:rsid w:val="00781693"/>
    <w:rsid w:val="00781CC9"/>
    <w:rsid w:val="0078375E"/>
    <w:rsid w:val="007837FA"/>
    <w:rsid w:val="00783DD7"/>
    <w:rsid w:val="00783DE8"/>
    <w:rsid w:val="007841AF"/>
    <w:rsid w:val="007845CE"/>
    <w:rsid w:val="00785767"/>
    <w:rsid w:val="00785C3A"/>
    <w:rsid w:val="00785C65"/>
    <w:rsid w:val="00785E71"/>
    <w:rsid w:val="00786609"/>
    <w:rsid w:val="00786DDF"/>
    <w:rsid w:val="00790FE9"/>
    <w:rsid w:val="00792378"/>
    <w:rsid w:val="00792ECC"/>
    <w:rsid w:val="007941FA"/>
    <w:rsid w:val="00794DFA"/>
    <w:rsid w:val="00796C4E"/>
    <w:rsid w:val="007970E0"/>
    <w:rsid w:val="007A05BD"/>
    <w:rsid w:val="007A1005"/>
    <w:rsid w:val="007A2A88"/>
    <w:rsid w:val="007A48F6"/>
    <w:rsid w:val="007A5230"/>
    <w:rsid w:val="007A582C"/>
    <w:rsid w:val="007A6981"/>
    <w:rsid w:val="007A73A6"/>
    <w:rsid w:val="007A747B"/>
    <w:rsid w:val="007B1057"/>
    <w:rsid w:val="007B1929"/>
    <w:rsid w:val="007B20CA"/>
    <w:rsid w:val="007B263E"/>
    <w:rsid w:val="007B4F9C"/>
    <w:rsid w:val="007B541C"/>
    <w:rsid w:val="007B5CFE"/>
    <w:rsid w:val="007B641D"/>
    <w:rsid w:val="007B7853"/>
    <w:rsid w:val="007C379C"/>
    <w:rsid w:val="007C41A3"/>
    <w:rsid w:val="007C51DE"/>
    <w:rsid w:val="007C5B0A"/>
    <w:rsid w:val="007C613E"/>
    <w:rsid w:val="007C640D"/>
    <w:rsid w:val="007C6C8F"/>
    <w:rsid w:val="007D07CD"/>
    <w:rsid w:val="007D0C10"/>
    <w:rsid w:val="007D199A"/>
    <w:rsid w:val="007D529D"/>
    <w:rsid w:val="007D53E0"/>
    <w:rsid w:val="007D5D0E"/>
    <w:rsid w:val="007D6445"/>
    <w:rsid w:val="007D761F"/>
    <w:rsid w:val="007D7E1A"/>
    <w:rsid w:val="007E0EEC"/>
    <w:rsid w:val="007E1C7D"/>
    <w:rsid w:val="007E27E5"/>
    <w:rsid w:val="007E3735"/>
    <w:rsid w:val="007E49D1"/>
    <w:rsid w:val="007E4B8A"/>
    <w:rsid w:val="007E4D79"/>
    <w:rsid w:val="007E4F88"/>
    <w:rsid w:val="007E513C"/>
    <w:rsid w:val="007E514E"/>
    <w:rsid w:val="007E66C8"/>
    <w:rsid w:val="007E67AC"/>
    <w:rsid w:val="007E6F09"/>
    <w:rsid w:val="007E722D"/>
    <w:rsid w:val="007E7B29"/>
    <w:rsid w:val="007E7C18"/>
    <w:rsid w:val="007E7D8D"/>
    <w:rsid w:val="007F00A8"/>
    <w:rsid w:val="007F0178"/>
    <w:rsid w:val="007F438D"/>
    <w:rsid w:val="007F4C63"/>
    <w:rsid w:val="007F60BD"/>
    <w:rsid w:val="007F6663"/>
    <w:rsid w:val="007F7423"/>
    <w:rsid w:val="007F7DDA"/>
    <w:rsid w:val="0080055C"/>
    <w:rsid w:val="008006EE"/>
    <w:rsid w:val="00800B48"/>
    <w:rsid w:val="00801E52"/>
    <w:rsid w:val="00802A3F"/>
    <w:rsid w:val="00803285"/>
    <w:rsid w:val="0080407A"/>
    <w:rsid w:val="008047E5"/>
    <w:rsid w:val="00804F92"/>
    <w:rsid w:val="00805EE5"/>
    <w:rsid w:val="00811440"/>
    <w:rsid w:val="008134B2"/>
    <w:rsid w:val="00813597"/>
    <w:rsid w:val="00820D4F"/>
    <w:rsid w:val="008220EA"/>
    <w:rsid w:val="008221DC"/>
    <w:rsid w:val="008234B6"/>
    <w:rsid w:val="00824234"/>
    <w:rsid w:val="00824546"/>
    <w:rsid w:val="0082534A"/>
    <w:rsid w:val="00825643"/>
    <w:rsid w:val="008256D2"/>
    <w:rsid w:val="00825A47"/>
    <w:rsid w:val="00825B34"/>
    <w:rsid w:val="00825D10"/>
    <w:rsid w:val="0082761E"/>
    <w:rsid w:val="008314DB"/>
    <w:rsid w:val="00832FFD"/>
    <w:rsid w:val="008334AC"/>
    <w:rsid w:val="00833528"/>
    <w:rsid w:val="00834989"/>
    <w:rsid w:val="00834E15"/>
    <w:rsid w:val="0083544E"/>
    <w:rsid w:val="008358D3"/>
    <w:rsid w:val="00836768"/>
    <w:rsid w:val="00837343"/>
    <w:rsid w:val="0083757F"/>
    <w:rsid w:val="00837EB6"/>
    <w:rsid w:val="008423BC"/>
    <w:rsid w:val="0084271D"/>
    <w:rsid w:val="00842B46"/>
    <w:rsid w:val="00842DED"/>
    <w:rsid w:val="008433FB"/>
    <w:rsid w:val="00844C5E"/>
    <w:rsid w:val="00844ECB"/>
    <w:rsid w:val="00845726"/>
    <w:rsid w:val="0084689E"/>
    <w:rsid w:val="008478D7"/>
    <w:rsid w:val="00853552"/>
    <w:rsid w:val="008549CC"/>
    <w:rsid w:val="00856FD5"/>
    <w:rsid w:val="0085742F"/>
    <w:rsid w:val="008574BD"/>
    <w:rsid w:val="00860209"/>
    <w:rsid w:val="00860521"/>
    <w:rsid w:val="008607FA"/>
    <w:rsid w:val="008622CF"/>
    <w:rsid w:val="008628B1"/>
    <w:rsid w:val="00862CA3"/>
    <w:rsid w:val="00864066"/>
    <w:rsid w:val="0086409A"/>
    <w:rsid w:val="00865448"/>
    <w:rsid w:val="00865843"/>
    <w:rsid w:val="00866BDC"/>
    <w:rsid w:val="008706F6"/>
    <w:rsid w:val="00870F71"/>
    <w:rsid w:val="00871648"/>
    <w:rsid w:val="00871ACC"/>
    <w:rsid w:val="00872730"/>
    <w:rsid w:val="00874CE4"/>
    <w:rsid w:val="00875B4B"/>
    <w:rsid w:val="00875F9E"/>
    <w:rsid w:val="00876B0D"/>
    <w:rsid w:val="008803EA"/>
    <w:rsid w:val="00880EF3"/>
    <w:rsid w:val="00881702"/>
    <w:rsid w:val="008822BF"/>
    <w:rsid w:val="00882A95"/>
    <w:rsid w:val="00882D56"/>
    <w:rsid w:val="00883020"/>
    <w:rsid w:val="008844BC"/>
    <w:rsid w:val="008852AB"/>
    <w:rsid w:val="00885C86"/>
    <w:rsid w:val="00891654"/>
    <w:rsid w:val="0089192F"/>
    <w:rsid w:val="00891E1C"/>
    <w:rsid w:val="00893256"/>
    <w:rsid w:val="008946B1"/>
    <w:rsid w:val="00894F5C"/>
    <w:rsid w:val="00895683"/>
    <w:rsid w:val="00895FE7"/>
    <w:rsid w:val="008960DA"/>
    <w:rsid w:val="00896275"/>
    <w:rsid w:val="00896592"/>
    <w:rsid w:val="00896689"/>
    <w:rsid w:val="00896D29"/>
    <w:rsid w:val="008A1E90"/>
    <w:rsid w:val="008A20B3"/>
    <w:rsid w:val="008A220E"/>
    <w:rsid w:val="008A2FB1"/>
    <w:rsid w:val="008A35D3"/>
    <w:rsid w:val="008A37BD"/>
    <w:rsid w:val="008A49DE"/>
    <w:rsid w:val="008A4AE0"/>
    <w:rsid w:val="008A4B9F"/>
    <w:rsid w:val="008A4D8F"/>
    <w:rsid w:val="008A5497"/>
    <w:rsid w:val="008A58A0"/>
    <w:rsid w:val="008A65A0"/>
    <w:rsid w:val="008A670E"/>
    <w:rsid w:val="008A6890"/>
    <w:rsid w:val="008B0270"/>
    <w:rsid w:val="008B0DAE"/>
    <w:rsid w:val="008B0F82"/>
    <w:rsid w:val="008B238B"/>
    <w:rsid w:val="008B2CA2"/>
    <w:rsid w:val="008B2D22"/>
    <w:rsid w:val="008B46A2"/>
    <w:rsid w:val="008B53BC"/>
    <w:rsid w:val="008B592C"/>
    <w:rsid w:val="008B62C1"/>
    <w:rsid w:val="008B6F11"/>
    <w:rsid w:val="008B74FB"/>
    <w:rsid w:val="008B7D2D"/>
    <w:rsid w:val="008C0594"/>
    <w:rsid w:val="008C0AAE"/>
    <w:rsid w:val="008C1507"/>
    <w:rsid w:val="008C169A"/>
    <w:rsid w:val="008C172F"/>
    <w:rsid w:val="008C2563"/>
    <w:rsid w:val="008C2B61"/>
    <w:rsid w:val="008C6549"/>
    <w:rsid w:val="008C66E7"/>
    <w:rsid w:val="008C68A0"/>
    <w:rsid w:val="008C6C2A"/>
    <w:rsid w:val="008D0EA1"/>
    <w:rsid w:val="008D2300"/>
    <w:rsid w:val="008D39C4"/>
    <w:rsid w:val="008D4238"/>
    <w:rsid w:val="008D60CD"/>
    <w:rsid w:val="008D6411"/>
    <w:rsid w:val="008D70AF"/>
    <w:rsid w:val="008D7FD2"/>
    <w:rsid w:val="008E0D35"/>
    <w:rsid w:val="008E0E1A"/>
    <w:rsid w:val="008E27A8"/>
    <w:rsid w:val="008E3141"/>
    <w:rsid w:val="008E3B0D"/>
    <w:rsid w:val="008E3EAB"/>
    <w:rsid w:val="008E3F22"/>
    <w:rsid w:val="008E4124"/>
    <w:rsid w:val="008E4547"/>
    <w:rsid w:val="008E4A35"/>
    <w:rsid w:val="008E52BC"/>
    <w:rsid w:val="008F1296"/>
    <w:rsid w:val="008F16B5"/>
    <w:rsid w:val="008F1AB0"/>
    <w:rsid w:val="008F2230"/>
    <w:rsid w:val="008F36FB"/>
    <w:rsid w:val="008F5013"/>
    <w:rsid w:val="008F5088"/>
    <w:rsid w:val="008F685D"/>
    <w:rsid w:val="008F698F"/>
    <w:rsid w:val="008F7728"/>
    <w:rsid w:val="00900978"/>
    <w:rsid w:val="00900A55"/>
    <w:rsid w:val="00901E86"/>
    <w:rsid w:val="0090360D"/>
    <w:rsid w:val="0090369E"/>
    <w:rsid w:val="00903827"/>
    <w:rsid w:val="00904F39"/>
    <w:rsid w:val="009060BF"/>
    <w:rsid w:val="0090639B"/>
    <w:rsid w:val="009064D3"/>
    <w:rsid w:val="00911749"/>
    <w:rsid w:val="009120B7"/>
    <w:rsid w:val="00912E0D"/>
    <w:rsid w:val="00912EED"/>
    <w:rsid w:val="0091375D"/>
    <w:rsid w:val="00914727"/>
    <w:rsid w:val="00914EC1"/>
    <w:rsid w:val="00914EFF"/>
    <w:rsid w:val="00914F9E"/>
    <w:rsid w:val="009153E6"/>
    <w:rsid w:val="00915FC6"/>
    <w:rsid w:val="009177E6"/>
    <w:rsid w:val="0092093F"/>
    <w:rsid w:val="0092118F"/>
    <w:rsid w:val="0092250C"/>
    <w:rsid w:val="00924DAA"/>
    <w:rsid w:val="0092502A"/>
    <w:rsid w:val="0092512B"/>
    <w:rsid w:val="00925A37"/>
    <w:rsid w:val="009263D1"/>
    <w:rsid w:val="0092749D"/>
    <w:rsid w:val="009276B6"/>
    <w:rsid w:val="009300F5"/>
    <w:rsid w:val="00930103"/>
    <w:rsid w:val="009313A2"/>
    <w:rsid w:val="00931EA9"/>
    <w:rsid w:val="009320D9"/>
    <w:rsid w:val="00932A98"/>
    <w:rsid w:val="00932E4F"/>
    <w:rsid w:val="00933CE4"/>
    <w:rsid w:val="00933EA0"/>
    <w:rsid w:val="0093456A"/>
    <w:rsid w:val="009417F8"/>
    <w:rsid w:val="00942387"/>
    <w:rsid w:val="009426CB"/>
    <w:rsid w:val="009426E4"/>
    <w:rsid w:val="0094532C"/>
    <w:rsid w:val="00945C59"/>
    <w:rsid w:val="00946337"/>
    <w:rsid w:val="00946412"/>
    <w:rsid w:val="009516FF"/>
    <w:rsid w:val="0095175B"/>
    <w:rsid w:val="00951D12"/>
    <w:rsid w:val="00952C4D"/>
    <w:rsid w:val="009535BF"/>
    <w:rsid w:val="0095432D"/>
    <w:rsid w:val="00954D4A"/>
    <w:rsid w:val="009552C7"/>
    <w:rsid w:val="00955340"/>
    <w:rsid w:val="00956B53"/>
    <w:rsid w:val="0096039D"/>
    <w:rsid w:val="00960863"/>
    <w:rsid w:val="00960BC5"/>
    <w:rsid w:val="00961124"/>
    <w:rsid w:val="00961F4F"/>
    <w:rsid w:val="009624FA"/>
    <w:rsid w:val="00962541"/>
    <w:rsid w:val="0096348A"/>
    <w:rsid w:val="009643BF"/>
    <w:rsid w:val="009654B7"/>
    <w:rsid w:val="00965E2F"/>
    <w:rsid w:val="009663E6"/>
    <w:rsid w:val="009672D5"/>
    <w:rsid w:val="00967FA6"/>
    <w:rsid w:val="009704BB"/>
    <w:rsid w:val="0097073B"/>
    <w:rsid w:val="00970A5F"/>
    <w:rsid w:val="0097381F"/>
    <w:rsid w:val="00973A07"/>
    <w:rsid w:val="00974770"/>
    <w:rsid w:val="00977322"/>
    <w:rsid w:val="00977A81"/>
    <w:rsid w:val="00982CFA"/>
    <w:rsid w:val="0098308C"/>
    <w:rsid w:val="00983703"/>
    <w:rsid w:val="009837B9"/>
    <w:rsid w:val="00983B16"/>
    <w:rsid w:val="00984203"/>
    <w:rsid w:val="0098560E"/>
    <w:rsid w:val="00985A6B"/>
    <w:rsid w:val="009903DA"/>
    <w:rsid w:val="009910A3"/>
    <w:rsid w:val="00993305"/>
    <w:rsid w:val="00995420"/>
    <w:rsid w:val="00995AF3"/>
    <w:rsid w:val="00995FAC"/>
    <w:rsid w:val="009962F9"/>
    <w:rsid w:val="009A09E9"/>
    <w:rsid w:val="009A17B1"/>
    <w:rsid w:val="009A2BA1"/>
    <w:rsid w:val="009A3675"/>
    <w:rsid w:val="009A4CBD"/>
    <w:rsid w:val="009A5AB5"/>
    <w:rsid w:val="009A6E82"/>
    <w:rsid w:val="009A73D4"/>
    <w:rsid w:val="009A74A2"/>
    <w:rsid w:val="009A7CFF"/>
    <w:rsid w:val="009A7ECE"/>
    <w:rsid w:val="009B0915"/>
    <w:rsid w:val="009B2467"/>
    <w:rsid w:val="009B2E79"/>
    <w:rsid w:val="009B3D66"/>
    <w:rsid w:val="009B4471"/>
    <w:rsid w:val="009B4D56"/>
    <w:rsid w:val="009B6B0A"/>
    <w:rsid w:val="009B6EBA"/>
    <w:rsid w:val="009B71B2"/>
    <w:rsid w:val="009C15D1"/>
    <w:rsid w:val="009C25E2"/>
    <w:rsid w:val="009C3A10"/>
    <w:rsid w:val="009C3FE9"/>
    <w:rsid w:val="009C4987"/>
    <w:rsid w:val="009C6065"/>
    <w:rsid w:val="009C61F1"/>
    <w:rsid w:val="009C6481"/>
    <w:rsid w:val="009C6C83"/>
    <w:rsid w:val="009C7841"/>
    <w:rsid w:val="009D02ED"/>
    <w:rsid w:val="009D16CF"/>
    <w:rsid w:val="009D1A3D"/>
    <w:rsid w:val="009D1FAE"/>
    <w:rsid w:val="009D23FC"/>
    <w:rsid w:val="009D296A"/>
    <w:rsid w:val="009D2D9D"/>
    <w:rsid w:val="009D2FB3"/>
    <w:rsid w:val="009D2FE8"/>
    <w:rsid w:val="009D3595"/>
    <w:rsid w:val="009D3F96"/>
    <w:rsid w:val="009D4F8C"/>
    <w:rsid w:val="009D519B"/>
    <w:rsid w:val="009D5B5C"/>
    <w:rsid w:val="009D6360"/>
    <w:rsid w:val="009D6941"/>
    <w:rsid w:val="009D6ED3"/>
    <w:rsid w:val="009E069C"/>
    <w:rsid w:val="009E0D80"/>
    <w:rsid w:val="009E11CD"/>
    <w:rsid w:val="009E1369"/>
    <w:rsid w:val="009E1AA5"/>
    <w:rsid w:val="009E5BFF"/>
    <w:rsid w:val="009E5C34"/>
    <w:rsid w:val="009E6BC5"/>
    <w:rsid w:val="009E6D0D"/>
    <w:rsid w:val="009E78BE"/>
    <w:rsid w:val="009F120D"/>
    <w:rsid w:val="009F1CCA"/>
    <w:rsid w:val="009F2497"/>
    <w:rsid w:val="009F434B"/>
    <w:rsid w:val="009F62DA"/>
    <w:rsid w:val="009F6CA1"/>
    <w:rsid w:val="009F7153"/>
    <w:rsid w:val="009F754E"/>
    <w:rsid w:val="009F75AA"/>
    <w:rsid w:val="009F7723"/>
    <w:rsid w:val="009F7A29"/>
    <w:rsid w:val="00A00F70"/>
    <w:rsid w:val="00A02A1D"/>
    <w:rsid w:val="00A02EE7"/>
    <w:rsid w:val="00A04E11"/>
    <w:rsid w:val="00A0506E"/>
    <w:rsid w:val="00A05498"/>
    <w:rsid w:val="00A07DDA"/>
    <w:rsid w:val="00A10A2A"/>
    <w:rsid w:val="00A117B6"/>
    <w:rsid w:val="00A119E8"/>
    <w:rsid w:val="00A1200C"/>
    <w:rsid w:val="00A121FB"/>
    <w:rsid w:val="00A13AFA"/>
    <w:rsid w:val="00A154BE"/>
    <w:rsid w:val="00A16860"/>
    <w:rsid w:val="00A16CA2"/>
    <w:rsid w:val="00A20980"/>
    <w:rsid w:val="00A20FB4"/>
    <w:rsid w:val="00A2293B"/>
    <w:rsid w:val="00A23832"/>
    <w:rsid w:val="00A24814"/>
    <w:rsid w:val="00A24DFE"/>
    <w:rsid w:val="00A2595E"/>
    <w:rsid w:val="00A263B0"/>
    <w:rsid w:val="00A27499"/>
    <w:rsid w:val="00A27B80"/>
    <w:rsid w:val="00A30586"/>
    <w:rsid w:val="00A30E0E"/>
    <w:rsid w:val="00A3160B"/>
    <w:rsid w:val="00A319CD"/>
    <w:rsid w:val="00A32D37"/>
    <w:rsid w:val="00A34604"/>
    <w:rsid w:val="00A35018"/>
    <w:rsid w:val="00A3527D"/>
    <w:rsid w:val="00A352CD"/>
    <w:rsid w:val="00A3570A"/>
    <w:rsid w:val="00A362C9"/>
    <w:rsid w:val="00A363D7"/>
    <w:rsid w:val="00A36943"/>
    <w:rsid w:val="00A41592"/>
    <w:rsid w:val="00A4243F"/>
    <w:rsid w:val="00A437C1"/>
    <w:rsid w:val="00A43A00"/>
    <w:rsid w:val="00A43D88"/>
    <w:rsid w:val="00A446F6"/>
    <w:rsid w:val="00A44904"/>
    <w:rsid w:val="00A45BC7"/>
    <w:rsid w:val="00A4658A"/>
    <w:rsid w:val="00A47C9A"/>
    <w:rsid w:val="00A47EE8"/>
    <w:rsid w:val="00A501B6"/>
    <w:rsid w:val="00A50261"/>
    <w:rsid w:val="00A50CA8"/>
    <w:rsid w:val="00A50FDB"/>
    <w:rsid w:val="00A5221F"/>
    <w:rsid w:val="00A5234A"/>
    <w:rsid w:val="00A55D3E"/>
    <w:rsid w:val="00A56C7F"/>
    <w:rsid w:val="00A57065"/>
    <w:rsid w:val="00A613B4"/>
    <w:rsid w:val="00A61EB3"/>
    <w:rsid w:val="00A61FF7"/>
    <w:rsid w:val="00A65041"/>
    <w:rsid w:val="00A6661A"/>
    <w:rsid w:val="00A66902"/>
    <w:rsid w:val="00A66AC1"/>
    <w:rsid w:val="00A66AF3"/>
    <w:rsid w:val="00A67657"/>
    <w:rsid w:val="00A677C3"/>
    <w:rsid w:val="00A7013B"/>
    <w:rsid w:val="00A71995"/>
    <w:rsid w:val="00A71E80"/>
    <w:rsid w:val="00A72B32"/>
    <w:rsid w:val="00A73567"/>
    <w:rsid w:val="00A73A0C"/>
    <w:rsid w:val="00A73DB3"/>
    <w:rsid w:val="00A74A1B"/>
    <w:rsid w:val="00A750AD"/>
    <w:rsid w:val="00A773C7"/>
    <w:rsid w:val="00A80A43"/>
    <w:rsid w:val="00A80F23"/>
    <w:rsid w:val="00A81086"/>
    <w:rsid w:val="00A816EE"/>
    <w:rsid w:val="00A842B1"/>
    <w:rsid w:val="00A8437A"/>
    <w:rsid w:val="00A84C8F"/>
    <w:rsid w:val="00A8531E"/>
    <w:rsid w:val="00A86B2A"/>
    <w:rsid w:val="00A87A73"/>
    <w:rsid w:val="00A913E5"/>
    <w:rsid w:val="00A94F2A"/>
    <w:rsid w:val="00A95387"/>
    <w:rsid w:val="00A95B7B"/>
    <w:rsid w:val="00A96AE7"/>
    <w:rsid w:val="00A97C6F"/>
    <w:rsid w:val="00A97DB0"/>
    <w:rsid w:val="00AA27A8"/>
    <w:rsid w:val="00AA28BE"/>
    <w:rsid w:val="00AA34B2"/>
    <w:rsid w:val="00AA5693"/>
    <w:rsid w:val="00AA603D"/>
    <w:rsid w:val="00AA6E83"/>
    <w:rsid w:val="00AA6F67"/>
    <w:rsid w:val="00AB47C3"/>
    <w:rsid w:val="00AB4DEF"/>
    <w:rsid w:val="00AB4FB8"/>
    <w:rsid w:val="00AB7052"/>
    <w:rsid w:val="00AB7ED4"/>
    <w:rsid w:val="00AC04FD"/>
    <w:rsid w:val="00AC0827"/>
    <w:rsid w:val="00AC0C68"/>
    <w:rsid w:val="00AC26B9"/>
    <w:rsid w:val="00AC378A"/>
    <w:rsid w:val="00AC38D3"/>
    <w:rsid w:val="00AC41B9"/>
    <w:rsid w:val="00AC5FD0"/>
    <w:rsid w:val="00AC6ACC"/>
    <w:rsid w:val="00AC74B8"/>
    <w:rsid w:val="00AC7890"/>
    <w:rsid w:val="00AD12E3"/>
    <w:rsid w:val="00AD1BDC"/>
    <w:rsid w:val="00AD32B2"/>
    <w:rsid w:val="00AD4FA6"/>
    <w:rsid w:val="00AD5719"/>
    <w:rsid w:val="00AD68FD"/>
    <w:rsid w:val="00AD73EA"/>
    <w:rsid w:val="00AD7935"/>
    <w:rsid w:val="00AE15E0"/>
    <w:rsid w:val="00AE2A0C"/>
    <w:rsid w:val="00AE2B53"/>
    <w:rsid w:val="00AE6075"/>
    <w:rsid w:val="00AE687E"/>
    <w:rsid w:val="00AE6F9E"/>
    <w:rsid w:val="00AF053E"/>
    <w:rsid w:val="00AF3D59"/>
    <w:rsid w:val="00AF4974"/>
    <w:rsid w:val="00AF5649"/>
    <w:rsid w:val="00AF5C27"/>
    <w:rsid w:val="00AF5E1D"/>
    <w:rsid w:val="00AF6DAA"/>
    <w:rsid w:val="00AF7DA1"/>
    <w:rsid w:val="00AF7EFF"/>
    <w:rsid w:val="00B00059"/>
    <w:rsid w:val="00B014D6"/>
    <w:rsid w:val="00B016EF"/>
    <w:rsid w:val="00B01D22"/>
    <w:rsid w:val="00B022BD"/>
    <w:rsid w:val="00B02BBD"/>
    <w:rsid w:val="00B02D55"/>
    <w:rsid w:val="00B02E8B"/>
    <w:rsid w:val="00B0347D"/>
    <w:rsid w:val="00B038F3"/>
    <w:rsid w:val="00B03D8F"/>
    <w:rsid w:val="00B05015"/>
    <w:rsid w:val="00B06775"/>
    <w:rsid w:val="00B10E15"/>
    <w:rsid w:val="00B1246F"/>
    <w:rsid w:val="00B125AD"/>
    <w:rsid w:val="00B13E44"/>
    <w:rsid w:val="00B146AF"/>
    <w:rsid w:val="00B15780"/>
    <w:rsid w:val="00B169FA"/>
    <w:rsid w:val="00B16D59"/>
    <w:rsid w:val="00B17FF4"/>
    <w:rsid w:val="00B21FB4"/>
    <w:rsid w:val="00B23739"/>
    <w:rsid w:val="00B248B0"/>
    <w:rsid w:val="00B258A4"/>
    <w:rsid w:val="00B30515"/>
    <w:rsid w:val="00B30960"/>
    <w:rsid w:val="00B3191E"/>
    <w:rsid w:val="00B31F52"/>
    <w:rsid w:val="00B323F9"/>
    <w:rsid w:val="00B326B1"/>
    <w:rsid w:val="00B3270A"/>
    <w:rsid w:val="00B33B33"/>
    <w:rsid w:val="00B347E0"/>
    <w:rsid w:val="00B35260"/>
    <w:rsid w:val="00B35F0F"/>
    <w:rsid w:val="00B367CA"/>
    <w:rsid w:val="00B37ABA"/>
    <w:rsid w:val="00B40D63"/>
    <w:rsid w:val="00B43123"/>
    <w:rsid w:val="00B43489"/>
    <w:rsid w:val="00B43B22"/>
    <w:rsid w:val="00B43C96"/>
    <w:rsid w:val="00B45FD4"/>
    <w:rsid w:val="00B4724A"/>
    <w:rsid w:val="00B47A2B"/>
    <w:rsid w:val="00B47E3F"/>
    <w:rsid w:val="00B51065"/>
    <w:rsid w:val="00B51187"/>
    <w:rsid w:val="00B5155D"/>
    <w:rsid w:val="00B51859"/>
    <w:rsid w:val="00B533C2"/>
    <w:rsid w:val="00B5346F"/>
    <w:rsid w:val="00B5379B"/>
    <w:rsid w:val="00B5416E"/>
    <w:rsid w:val="00B54238"/>
    <w:rsid w:val="00B5434B"/>
    <w:rsid w:val="00B55BB1"/>
    <w:rsid w:val="00B57C95"/>
    <w:rsid w:val="00B603E4"/>
    <w:rsid w:val="00B608C1"/>
    <w:rsid w:val="00B61359"/>
    <w:rsid w:val="00B63621"/>
    <w:rsid w:val="00B63AD7"/>
    <w:rsid w:val="00B63FFE"/>
    <w:rsid w:val="00B64A03"/>
    <w:rsid w:val="00B6563B"/>
    <w:rsid w:val="00B65773"/>
    <w:rsid w:val="00B665B9"/>
    <w:rsid w:val="00B66F0E"/>
    <w:rsid w:val="00B67767"/>
    <w:rsid w:val="00B7065A"/>
    <w:rsid w:val="00B708EA"/>
    <w:rsid w:val="00B711E9"/>
    <w:rsid w:val="00B72154"/>
    <w:rsid w:val="00B723CD"/>
    <w:rsid w:val="00B728ED"/>
    <w:rsid w:val="00B72A79"/>
    <w:rsid w:val="00B732A3"/>
    <w:rsid w:val="00B75199"/>
    <w:rsid w:val="00B75823"/>
    <w:rsid w:val="00B75DED"/>
    <w:rsid w:val="00B7727D"/>
    <w:rsid w:val="00B80525"/>
    <w:rsid w:val="00B80783"/>
    <w:rsid w:val="00B80908"/>
    <w:rsid w:val="00B816C8"/>
    <w:rsid w:val="00B817E5"/>
    <w:rsid w:val="00B81956"/>
    <w:rsid w:val="00B8467A"/>
    <w:rsid w:val="00B84ED0"/>
    <w:rsid w:val="00B84FC0"/>
    <w:rsid w:val="00B871B4"/>
    <w:rsid w:val="00B8778B"/>
    <w:rsid w:val="00B87AEA"/>
    <w:rsid w:val="00B87D90"/>
    <w:rsid w:val="00B9113A"/>
    <w:rsid w:val="00B917FE"/>
    <w:rsid w:val="00B9330A"/>
    <w:rsid w:val="00B934B8"/>
    <w:rsid w:val="00B9628F"/>
    <w:rsid w:val="00B96370"/>
    <w:rsid w:val="00B9749A"/>
    <w:rsid w:val="00BA0AC9"/>
    <w:rsid w:val="00BA1540"/>
    <w:rsid w:val="00BA1DF8"/>
    <w:rsid w:val="00BA224B"/>
    <w:rsid w:val="00BA2DEF"/>
    <w:rsid w:val="00BA3E2B"/>
    <w:rsid w:val="00BA480A"/>
    <w:rsid w:val="00BA53B2"/>
    <w:rsid w:val="00BA68CF"/>
    <w:rsid w:val="00BA6FE2"/>
    <w:rsid w:val="00BA78D4"/>
    <w:rsid w:val="00BB0DAF"/>
    <w:rsid w:val="00BB10F6"/>
    <w:rsid w:val="00BB12C9"/>
    <w:rsid w:val="00BB18E5"/>
    <w:rsid w:val="00BB2C01"/>
    <w:rsid w:val="00BB4267"/>
    <w:rsid w:val="00BB4776"/>
    <w:rsid w:val="00BB6588"/>
    <w:rsid w:val="00BB7197"/>
    <w:rsid w:val="00BB73C4"/>
    <w:rsid w:val="00BB7688"/>
    <w:rsid w:val="00BC02F4"/>
    <w:rsid w:val="00BC0879"/>
    <w:rsid w:val="00BC0892"/>
    <w:rsid w:val="00BC1DE6"/>
    <w:rsid w:val="00BC3504"/>
    <w:rsid w:val="00BC3BF1"/>
    <w:rsid w:val="00BC3E42"/>
    <w:rsid w:val="00BC486A"/>
    <w:rsid w:val="00BC4E96"/>
    <w:rsid w:val="00BC54CD"/>
    <w:rsid w:val="00BC5AD2"/>
    <w:rsid w:val="00BC6E6C"/>
    <w:rsid w:val="00BC7CA2"/>
    <w:rsid w:val="00BC7D2A"/>
    <w:rsid w:val="00BC7F90"/>
    <w:rsid w:val="00BD1386"/>
    <w:rsid w:val="00BD19C9"/>
    <w:rsid w:val="00BD26AE"/>
    <w:rsid w:val="00BD2DB0"/>
    <w:rsid w:val="00BD36FF"/>
    <w:rsid w:val="00BD42C7"/>
    <w:rsid w:val="00BD521C"/>
    <w:rsid w:val="00BD5393"/>
    <w:rsid w:val="00BD654A"/>
    <w:rsid w:val="00BD7E74"/>
    <w:rsid w:val="00BE01F8"/>
    <w:rsid w:val="00BE3603"/>
    <w:rsid w:val="00BE38F4"/>
    <w:rsid w:val="00BE534D"/>
    <w:rsid w:val="00BE6148"/>
    <w:rsid w:val="00BE7220"/>
    <w:rsid w:val="00BE7F61"/>
    <w:rsid w:val="00BF0327"/>
    <w:rsid w:val="00BF304E"/>
    <w:rsid w:val="00BF371B"/>
    <w:rsid w:val="00BF4317"/>
    <w:rsid w:val="00BF4326"/>
    <w:rsid w:val="00BF4381"/>
    <w:rsid w:val="00BF4C3C"/>
    <w:rsid w:val="00BF60A9"/>
    <w:rsid w:val="00BF75DC"/>
    <w:rsid w:val="00BF7712"/>
    <w:rsid w:val="00BF79C8"/>
    <w:rsid w:val="00C01153"/>
    <w:rsid w:val="00C01426"/>
    <w:rsid w:val="00C01DE5"/>
    <w:rsid w:val="00C0394C"/>
    <w:rsid w:val="00C03C1C"/>
    <w:rsid w:val="00C05AB4"/>
    <w:rsid w:val="00C05C3E"/>
    <w:rsid w:val="00C06B23"/>
    <w:rsid w:val="00C070EA"/>
    <w:rsid w:val="00C07E66"/>
    <w:rsid w:val="00C1009B"/>
    <w:rsid w:val="00C11FDF"/>
    <w:rsid w:val="00C1269C"/>
    <w:rsid w:val="00C12DF7"/>
    <w:rsid w:val="00C1403D"/>
    <w:rsid w:val="00C14EFF"/>
    <w:rsid w:val="00C14F53"/>
    <w:rsid w:val="00C17172"/>
    <w:rsid w:val="00C171C0"/>
    <w:rsid w:val="00C21066"/>
    <w:rsid w:val="00C21198"/>
    <w:rsid w:val="00C241DD"/>
    <w:rsid w:val="00C248C4"/>
    <w:rsid w:val="00C24BB6"/>
    <w:rsid w:val="00C24D43"/>
    <w:rsid w:val="00C27707"/>
    <w:rsid w:val="00C27F26"/>
    <w:rsid w:val="00C3031A"/>
    <w:rsid w:val="00C305B1"/>
    <w:rsid w:val="00C30EB9"/>
    <w:rsid w:val="00C31D19"/>
    <w:rsid w:val="00C31E62"/>
    <w:rsid w:val="00C320B7"/>
    <w:rsid w:val="00C32959"/>
    <w:rsid w:val="00C333B6"/>
    <w:rsid w:val="00C334BB"/>
    <w:rsid w:val="00C342FF"/>
    <w:rsid w:val="00C35B04"/>
    <w:rsid w:val="00C3659C"/>
    <w:rsid w:val="00C367A3"/>
    <w:rsid w:val="00C36D66"/>
    <w:rsid w:val="00C377FD"/>
    <w:rsid w:val="00C409A1"/>
    <w:rsid w:val="00C41B17"/>
    <w:rsid w:val="00C42498"/>
    <w:rsid w:val="00C42B93"/>
    <w:rsid w:val="00C43A93"/>
    <w:rsid w:val="00C4473D"/>
    <w:rsid w:val="00C447C9"/>
    <w:rsid w:val="00C44FDA"/>
    <w:rsid w:val="00C45BCD"/>
    <w:rsid w:val="00C464FE"/>
    <w:rsid w:val="00C466E6"/>
    <w:rsid w:val="00C467A9"/>
    <w:rsid w:val="00C50657"/>
    <w:rsid w:val="00C517A1"/>
    <w:rsid w:val="00C53B48"/>
    <w:rsid w:val="00C53C7E"/>
    <w:rsid w:val="00C54149"/>
    <w:rsid w:val="00C5418F"/>
    <w:rsid w:val="00C55491"/>
    <w:rsid w:val="00C56561"/>
    <w:rsid w:val="00C56B70"/>
    <w:rsid w:val="00C572A5"/>
    <w:rsid w:val="00C60A69"/>
    <w:rsid w:val="00C60AA9"/>
    <w:rsid w:val="00C60B99"/>
    <w:rsid w:val="00C61832"/>
    <w:rsid w:val="00C620B8"/>
    <w:rsid w:val="00C6224E"/>
    <w:rsid w:val="00C641F8"/>
    <w:rsid w:val="00C649D4"/>
    <w:rsid w:val="00C64A91"/>
    <w:rsid w:val="00C64B6C"/>
    <w:rsid w:val="00C65A32"/>
    <w:rsid w:val="00C66B57"/>
    <w:rsid w:val="00C70F51"/>
    <w:rsid w:val="00C70FBB"/>
    <w:rsid w:val="00C71588"/>
    <w:rsid w:val="00C721B7"/>
    <w:rsid w:val="00C7268B"/>
    <w:rsid w:val="00C73302"/>
    <w:rsid w:val="00C73C0E"/>
    <w:rsid w:val="00C73F2B"/>
    <w:rsid w:val="00C74AD4"/>
    <w:rsid w:val="00C77292"/>
    <w:rsid w:val="00C7729E"/>
    <w:rsid w:val="00C77CA5"/>
    <w:rsid w:val="00C800BA"/>
    <w:rsid w:val="00C81314"/>
    <w:rsid w:val="00C8196B"/>
    <w:rsid w:val="00C82082"/>
    <w:rsid w:val="00C82822"/>
    <w:rsid w:val="00C84739"/>
    <w:rsid w:val="00C85104"/>
    <w:rsid w:val="00C8787F"/>
    <w:rsid w:val="00C87FD2"/>
    <w:rsid w:val="00C90B25"/>
    <w:rsid w:val="00C90E30"/>
    <w:rsid w:val="00C91C94"/>
    <w:rsid w:val="00C92172"/>
    <w:rsid w:val="00C92728"/>
    <w:rsid w:val="00C92853"/>
    <w:rsid w:val="00C928D1"/>
    <w:rsid w:val="00C92A09"/>
    <w:rsid w:val="00C93335"/>
    <w:rsid w:val="00C94F0E"/>
    <w:rsid w:val="00C963DF"/>
    <w:rsid w:val="00CA1862"/>
    <w:rsid w:val="00CA1D0F"/>
    <w:rsid w:val="00CA30B8"/>
    <w:rsid w:val="00CA3363"/>
    <w:rsid w:val="00CA3875"/>
    <w:rsid w:val="00CA3950"/>
    <w:rsid w:val="00CA4B02"/>
    <w:rsid w:val="00CA4D6F"/>
    <w:rsid w:val="00CA5485"/>
    <w:rsid w:val="00CA7B0C"/>
    <w:rsid w:val="00CB165F"/>
    <w:rsid w:val="00CB183D"/>
    <w:rsid w:val="00CB1CEB"/>
    <w:rsid w:val="00CB2504"/>
    <w:rsid w:val="00CB2EC3"/>
    <w:rsid w:val="00CB3523"/>
    <w:rsid w:val="00CB3F09"/>
    <w:rsid w:val="00CB51AA"/>
    <w:rsid w:val="00CB5666"/>
    <w:rsid w:val="00CB66A1"/>
    <w:rsid w:val="00CB6709"/>
    <w:rsid w:val="00CC0E33"/>
    <w:rsid w:val="00CC215A"/>
    <w:rsid w:val="00CC226B"/>
    <w:rsid w:val="00CC5191"/>
    <w:rsid w:val="00CC63C6"/>
    <w:rsid w:val="00CC73C0"/>
    <w:rsid w:val="00CC797B"/>
    <w:rsid w:val="00CD00B1"/>
    <w:rsid w:val="00CD094A"/>
    <w:rsid w:val="00CD0B42"/>
    <w:rsid w:val="00CD2746"/>
    <w:rsid w:val="00CD3AFD"/>
    <w:rsid w:val="00CD3D58"/>
    <w:rsid w:val="00CD40CD"/>
    <w:rsid w:val="00CD4A8C"/>
    <w:rsid w:val="00CD4F68"/>
    <w:rsid w:val="00CD69A8"/>
    <w:rsid w:val="00CD6A1A"/>
    <w:rsid w:val="00CD7782"/>
    <w:rsid w:val="00CE03A3"/>
    <w:rsid w:val="00CE113A"/>
    <w:rsid w:val="00CE1AB2"/>
    <w:rsid w:val="00CE22ED"/>
    <w:rsid w:val="00CE2DF4"/>
    <w:rsid w:val="00CE3098"/>
    <w:rsid w:val="00CE34C9"/>
    <w:rsid w:val="00CE406D"/>
    <w:rsid w:val="00CE5E08"/>
    <w:rsid w:val="00CE6962"/>
    <w:rsid w:val="00CF010C"/>
    <w:rsid w:val="00CF06BB"/>
    <w:rsid w:val="00CF07E0"/>
    <w:rsid w:val="00CF0828"/>
    <w:rsid w:val="00CF0B55"/>
    <w:rsid w:val="00CF1339"/>
    <w:rsid w:val="00CF18A0"/>
    <w:rsid w:val="00CF289D"/>
    <w:rsid w:val="00CF3611"/>
    <w:rsid w:val="00CF36F6"/>
    <w:rsid w:val="00CF37B5"/>
    <w:rsid w:val="00CF3C46"/>
    <w:rsid w:val="00CF5FA5"/>
    <w:rsid w:val="00CF6B25"/>
    <w:rsid w:val="00CF6E3C"/>
    <w:rsid w:val="00CF736E"/>
    <w:rsid w:val="00D02258"/>
    <w:rsid w:val="00D02AD9"/>
    <w:rsid w:val="00D03349"/>
    <w:rsid w:val="00D0485E"/>
    <w:rsid w:val="00D05118"/>
    <w:rsid w:val="00D05590"/>
    <w:rsid w:val="00D1320F"/>
    <w:rsid w:val="00D13C90"/>
    <w:rsid w:val="00D14D74"/>
    <w:rsid w:val="00D14DBB"/>
    <w:rsid w:val="00D14E03"/>
    <w:rsid w:val="00D202B0"/>
    <w:rsid w:val="00D20500"/>
    <w:rsid w:val="00D22752"/>
    <w:rsid w:val="00D230C4"/>
    <w:rsid w:val="00D230CC"/>
    <w:rsid w:val="00D23BE9"/>
    <w:rsid w:val="00D250FC"/>
    <w:rsid w:val="00D261EF"/>
    <w:rsid w:val="00D2691C"/>
    <w:rsid w:val="00D27585"/>
    <w:rsid w:val="00D277E6"/>
    <w:rsid w:val="00D27BA2"/>
    <w:rsid w:val="00D27C68"/>
    <w:rsid w:val="00D30C80"/>
    <w:rsid w:val="00D31F2F"/>
    <w:rsid w:val="00D33C93"/>
    <w:rsid w:val="00D34871"/>
    <w:rsid w:val="00D35700"/>
    <w:rsid w:val="00D358DA"/>
    <w:rsid w:val="00D35A66"/>
    <w:rsid w:val="00D35EDE"/>
    <w:rsid w:val="00D367FC"/>
    <w:rsid w:val="00D36F19"/>
    <w:rsid w:val="00D36F51"/>
    <w:rsid w:val="00D40A20"/>
    <w:rsid w:val="00D41AA6"/>
    <w:rsid w:val="00D42312"/>
    <w:rsid w:val="00D4273D"/>
    <w:rsid w:val="00D42EE0"/>
    <w:rsid w:val="00D42FD8"/>
    <w:rsid w:val="00D43692"/>
    <w:rsid w:val="00D44527"/>
    <w:rsid w:val="00D44920"/>
    <w:rsid w:val="00D44B8D"/>
    <w:rsid w:val="00D4589F"/>
    <w:rsid w:val="00D45A78"/>
    <w:rsid w:val="00D462A7"/>
    <w:rsid w:val="00D46FFF"/>
    <w:rsid w:val="00D504CF"/>
    <w:rsid w:val="00D51BCF"/>
    <w:rsid w:val="00D52D0A"/>
    <w:rsid w:val="00D539DD"/>
    <w:rsid w:val="00D53D70"/>
    <w:rsid w:val="00D5594C"/>
    <w:rsid w:val="00D55B3B"/>
    <w:rsid w:val="00D55CD7"/>
    <w:rsid w:val="00D5677B"/>
    <w:rsid w:val="00D568B5"/>
    <w:rsid w:val="00D61E4A"/>
    <w:rsid w:val="00D6266C"/>
    <w:rsid w:val="00D62C06"/>
    <w:rsid w:val="00D63E8A"/>
    <w:rsid w:val="00D65419"/>
    <w:rsid w:val="00D65527"/>
    <w:rsid w:val="00D66BD4"/>
    <w:rsid w:val="00D66C28"/>
    <w:rsid w:val="00D66DDE"/>
    <w:rsid w:val="00D66E43"/>
    <w:rsid w:val="00D7016F"/>
    <w:rsid w:val="00D7532D"/>
    <w:rsid w:val="00D766AF"/>
    <w:rsid w:val="00D76BAF"/>
    <w:rsid w:val="00D80DC8"/>
    <w:rsid w:val="00D81582"/>
    <w:rsid w:val="00D82309"/>
    <w:rsid w:val="00D8272E"/>
    <w:rsid w:val="00D83130"/>
    <w:rsid w:val="00D841F8"/>
    <w:rsid w:val="00D84AB8"/>
    <w:rsid w:val="00D8515D"/>
    <w:rsid w:val="00D90180"/>
    <w:rsid w:val="00D90834"/>
    <w:rsid w:val="00D93359"/>
    <w:rsid w:val="00D9339F"/>
    <w:rsid w:val="00D93D80"/>
    <w:rsid w:val="00D93EE3"/>
    <w:rsid w:val="00D94B90"/>
    <w:rsid w:val="00D96433"/>
    <w:rsid w:val="00D977B3"/>
    <w:rsid w:val="00D9783E"/>
    <w:rsid w:val="00DA049A"/>
    <w:rsid w:val="00DA1A3F"/>
    <w:rsid w:val="00DA252B"/>
    <w:rsid w:val="00DA2C25"/>
    <w:rsid w:val="00DA4683"/>
    <w:rsid w:val="00DA5F82"/>
    <w:rsid w:val="00DA7897"/>
    <w:rsid w:val="00DA7C69"/>
    <w:rsid w:val="00DB039C"/>
    <w:rsid w:val="00DB0BFD"/>
    <w:rsid w:val="00DB0FA9"/>
    <w:rsid w:val="00DB2114"/>
    <w:rsid w:val="00DB2D05"/>
    <w:rsid w:val="00DB342F"/>
    <w:rsid w:val="00DB3472"/>
    <w:rsid w:val="00DB3AEC"/>
    <w:rsid w:val="00DB3F7A"/>
    <w:rsid w:val="00DB4783"/>
    <w:rsid w:val="00DB4E6D"/>
    <w:rsid w:val="00DB5372"/>
    <w:rsid w:val="00DB6AA4"/>
    <w:rsid w:val="00DB6E64"/>
    <w:rsid w:val="00DC12E5"/>
    <w:rsid w:val="00DC3134"/>
    <w:rsid w:val="00DC4907"/>
    <w:rsid w:val="00DC4C93"/>
    <w:rsid w:val="00DC51F8"/>
    <w:rsid w:val="00DC6D7C"/>
    <w:rsid w:val="00DC6EDA"/>
    <w:rsid w:val="00DC74D0"/>
    <w:rsid w:val="00DD011C"/>
    <w:rsid w:val="00DD4C81"/>
    <w:rsid w:val="00DD6344"/>
    <w:rsid w:val="00DD7028"/>
    <w:rsid w:val="00DE2A7D"/>
    <w:rsid w:val="00DE398B"/>
    <w:rsid w:val="00DE4FE0"/>
    <w:rsid w:val="00DE5650"/>
    <w:rsid w:val="00DE77F8"/>
    <w:rsid w:val="00DE7F8B"/>
    <w:rsid w:val="00DF0177"/>
    <w:rsid w:val="00DF0C53"/>
    <w:rsid w:val="00DF1B74"/>
    <w:rsid w:val="00DF1E9B"/>
    <w:rsid w:val="00DF2079"/>
    <w:rsid w:val="00DF392C"/>
    <w:rsid w:val="00DF6123"/>
    <w:rsid w:val="00DF683E"/>
    <w:rsid w:val="00E01B8F"/>
    <w:rsid w:val="00E01BF3"/>
    <w:rsid w:val="00E01BF9"/>
    <w:rsid w:val="00E01CCA"/>
    <w:rsid w:val="00E02B49"/>
    <w:rsid w:val="00E03BDB"/>
    <w:rsid w:val="00E04438"/>
    <w:rsid w:val="00E051D0"/>
    <w:rsid w:val="00E060E7"/>
    <w:rsid w:val="00E06733"/>
    <w:rsid w:val="00E077CB"/>
    <w:rsid w:val="00E1094B"/>
    <w:rsid w:val="00E110C1"/>
    <w:rsid w:val="00E1171F"/>
    <w:rsid w:val="00E11971"/>
    <w:rsid w:val="00E11DD8"/>
    <w:rsid w:val="00E11F68"/>
    <w:rsid w:val="00E133D1"/>
    <w:rsid w:val="00E1360E"/>
    <w:rsid w:val="00E14BC5"/>
    <w:rsid w:val="00E155D7"/>
    <w:rsid w:val="00E16288"/>
    <w:rsid w:val="00E17067"/>
    <w:rsid w:val="00E206BC"/>
    <w:rsid w:val="00E20F27"/>
    <w:rsid w:val="00E223F9"/>
    <w:rsid w:val="00E2310D"/>
    <w:rsid w:val="00E23E90"/>
    <w:rsid w:val="00E254F7"/>
    <w:rsid w:val="00E257BD"/>
    <w:rsid w:val="00E25CFF"/>
    <w:rsid w:val="00E26427"/>
    <w:rsid w:val="00E265AE"/>
    <w:rsid w:val="00E3059A"/>
    <w:rsid w:val="00E31C64"/>
    <w:rsid w:val="00E32043"/>
    <w:rsid w:val="00E32A93"/>
    <w:rsid w:val="00E32CAD"/>
    <w:rsid w:val="00E3331D"/>
    <w:rsid w:val="00E34733"/>
    <w:rsid w:val="00E3690F"/>
    <w:rsid w:val="00E374F5"/>
    <w:rsid w:val="00E37892"/>
    <w:rsid w:val="00E37EE7"/>
    <w:rsid w:val="00E400BB"/>
    <w:rsid w:val="00E403C7"/>
    <w:rsid w:val="00E405B9"/>
    <w:rsid w:val="00E41FA5"/>
    <w:rsid w:val="00E4202B"/>
    <w:rsid w:val="00E4240E"/>
    <w:rsid w:val="00E43205"/>
    <w:rsid w:val="00E44659"/>
    <w:rsid w:val="00E44A1C"/>
    <w:rsid w:val="00E44A4F"/>
    <w:rsid w:val="00E45D16"/>
    <w:rsid w:val="00E464F1"/>
    <w:rsid w:val="00E46F09"/>
    <w:rsid w:val="00E47B6A"/>
    <w:rsid w:val="00E50263"/>
    <w:rsid w:val="00E5085E"/>
    <w:rsid w:val="00E50EF5"/>
    <w:rsid w:val="00E51677"/>
    <w:rsid w:val="00E518F1"/>
    <w:rsid w:val="00E51F99"/>
    <w:rsid w:val="00E53097"/>
    <w:rsid w:val="00E53FD6"/>
    <w:rsid w:val="00E541FB"/>
    <w:rsid w:val="00E5701F"/>
    <w:rsid w:val="00E5775B"/>
    <w:rsid w:val="00E57A76"/>
    <w:rsid w:val="00E60809"/>
    <w:rsid w:val="00E60B15"/>
    <w:rsid w:val="00E61C98"/>
    <w:rsid w:val="00E62859"/>
    <w:rsid w:val="00E63022"/>
    <w:rsid w:val="00E64E35"/>
    <w:rsid w:val="00E651BC"/>
    <w:rsid w:val="00E657EA"/>
    <w:rsid w:val="00E66BE5"/>
    <w:rsid w:val="00E671F7"/>
    <w:rsid w:val="00E67AB4"/>
    <w:rsid w:val="00E701D7"/>
    <w:rsid w:val="00E707C6"/>
    <w:rsid w:val="00E70BB9"/>
    <w:rsid w:val="00E716A6"/>
    <w:rsid w:val="00E726A0"/>
    <w:rsid w:val="00E740FE"/>
    <w:rsid w:val="00E7519A"/>
    <w:rsid w:val="00E75A44"/>
    <w:rsid w:val="00E768BA"/>
    <w:rsid w:val="00E77C63"/>
    <w:rsid w:val="00E80AC7"/>
    <w:rsid w:val="00E823B2"/>
    <w:rsid w:val="00E8281C"/>
    <w:rsid w:val="00E82BE1"/>
    <w:rsid w:val="00E85116"/>
    <w:rsid w:val="00E856F1"/>
    <w:rsid w:val="00E85C23"/>
    <w:rsid w:val="00E86680"/>
    <w:rsid w:val="00E86803"/>
    <w:rsid w:val="00E87696"/>
    <w:rsid w:val="00E90C18"/>
    <w:rsid w:val="00E9157A"/>
    <w:rsid w:val="00E920D7"/>
    <w:rsid w:val="00E93067"/>
    <w:rsid w:val="00E932D5"/>
    <w:rsid w:val="00E93B79"/>
    <w:rsid w:val="00E93FF8"/>
    <w:rsid w:val="00E9412E"/>
    <w:rsid w:val="00E958BC"/>
    <w:rsid w:val="00E96D15"/>
    <w:rsid w:val="00E96ECB"/>
    <w:rsid w:val="00EA316F"/>
    <w:rsid w:val="00EA3419"/>
    <w:rsid w:val="00EA3B69"/>
    <w:rsid w:val="00EA464D"/>
    <w:rsid w:val="00EA475B"/>
    <w:rsid w:val="00EA4B50"/>
    <w:rsid w:val="00EA5FCA"/>
    <w:rsid w:val="00EA5FFE"/>
    <w:rsid w:val="00EA63A6"/>
    <w:rsid w:val="00EA76CB"/>
    <w:rsid w:val="00EA77DC"/>
    <w:rsid w:val="00EB0401"/>
    <w:rsid w:val="00EB100B"/>
    <w:rsid w:val="00EB1491"/>
    <w:rsid w:val="00EB1DEE"/>
    <w:rsid w:val="00EB1E66"/>
    <w:rsid w:val="00EB2265"/>
    <w:rsid w:val="00EB2843"/>
    <w:rsid w:val="00EB3185"/>
    <w:rsid w:val="00EB3E5D"/>
    <w:rsid w:val="00EB473A"/>
    <w:rsid w:val="00EB74F3"/>
    <w:rsid w:val="00EC00B7"/>
    <w:rsid w:val="00EC035B"/>
    <w:rsid w:val="00EC10D2"/>
    <w:rsid w:val="00EC42D9"/>
    <w:rsid w:val="00EC5A64"/>
    <w:rsid w:val="00EC6216"/>
    <w:rsid w:val="00ED1ABB"/>
    <w:rsid w:val="00ED2077"/>
    <w:rsid w:val="00ED30B5"/>
    <w:rsid w:val="00ED379F"/>
    <w:rsid w:val="00ED4979"/>
    <w:rsid w:val="00ED4BC0"/>
    <w:rsid w:val="00ED597E"/>
    <w:rsid w:val="00ED5AAB"/>
    <w:rsid w:val="00ED6041"/>
    <w:rsid w:val="00ED64AE"/>
    <w:rsid w:val="00ED67F5"/>
    <w:rsid w:val="00EE136A"/>
    <w:rsid w:val="00EE1C9F"/>
    <w:rsid w:val="00EE24B7"/>
    <w:rsid w:val="00EE5369"/>
    <w:rsid w:val="00EE5BBD"/>
    <w:rsid w:val="00EE6D06"/>
    <w:rsid w:val="00EF06FA"/>
    <w:rsid w:val="00EF20BB"/>
    <w:rsid w:val="00EF4C29"/>
    <w:rsid w:val="00EF592A"/>
    <w:rsid w:val="00EF598F"/>
    <w:rsid w:val="00EF5F10"/>
    <w:rsid w:val="00EF6AD0"/>
    <w:rsid w:val="00EF794E"/>
    <w:rsid w:val="00F00788"/>
    <w:rsid w:val="00F01761"/>
    <w:rsid w:val="00F01A51"/>
    <w:rsid w:val="00F01E4A"/>
    <w:rsid w:val="00F025A2"/>
    <w:rsid w:val="00F0368D"/>
    <w:rsid w:val="00F04D29"/>
    <w:rsid w:val="00F05EE7"/>
    <w:rsid w:val="00F079CD"/>
    <w:rsid w:val="00F10D8C"/>
    <w:rsid w:val="00F1140B"/>
    <w:rsid w:val="00F11F51"/>
    <w:rsid w:val="00F125F1"/>
    <w:rsid w:val="00F143E1"/>
    <w:rsid w:val="00F152FB"/>
    <w:rsid w:val="00F15ABB"/>
    <w:rsid w:val="00F167CF"/>
    <w:rsid w:val="00F1767E"/>
    <w:rsid w:val="00F1793F"/>
    <w:rsid w:val="00F2001F"/>
    <w:rsid w:val="00F20936"/>
    <w:rsid w:val="00F22428"/>
    <w:rsid w:val="00F24487"/>
    <w:rsid w:val="00F249EE"/>
    <w:rsid w:val="00F24E30"/>
    <w:rsid w:val="00F255F0"/>
    <w:rsid w:val="00F27155"/>
    <w:rsid w:val="00F27329"/>
    <w:rsid w:val="00F3018B"/>
    <w:rsid w:val="00F305E9"/>
    <w:rsid w:val="00F30821"/>
    <w:rsid w:val="00F3190E"/>
    <w:rsid w:val="00F31A24"/>
    <w:rsid w:val="00F32349"/>
    <w:rsid w:val="00F32A6A"/>
    <w:rsid w:val="00F3386B"/>
    <w:rsid w:val="00F33929"/>
    <w:rsid w:val="00F33A2E"/>
    <w:rsid w:val="00F348B7"/>
    <w:rsid w:val="00F34F0E"/>
    <w:rsid w:val="00F3545A"/>
    <w:rsid w:val="00F35C76"/>
    <w:rsid w:val="00F365BC"/>
    <w:rsid w:val="00F37633"/>
    <w:rsid w:val="00F37688"/>
    <w:rsid w:val="00F37FC7"/>
    <w:rsid w:val="00F4102F"/>
    <w:rsid w:val="00F41E8D"/>
    <w:rsid w:val="00F42BAA"/>
    <w:rsid w:val="00F42CCD"/>
    <w:rsid w:val="00F452C2"/>
    <w:rsid w:val="00F45942"/>
    <w:rsid w:val="00F461EB"/>
    <w:rsid w:val="00F46E35"/>
    <w:rsid w:val="00F46EBA"/>
    <w:rsid w:val="00F46EE4"/>
    <w:rsid w:val="00F476A4"/>
    <w:rsid w:val="00F47A7E"/>
    <w:rsid w:val="00F50E8E"/>
    <w:rsid w:val="00F51AF5"/>
    <w:rsid w:val="00F52EE1"/>
    <w:rsid w:val="00F53079"/>
    <w:rsid w:val="00F5401A"/>
    <w:rsid w:val="00F546C1"/>
    <w:rsid w:val="00F5726F"/>
    <w:rsid w:val="00F57942"/>
    <w:rsid w:val="00F607FF"/>
    <w:rsid w:val="00F609F5"/>
    <w:rsid w:val="00F61EA3"/>
    <w:rsid w:val="00F64C15"/>
    <w:rsid w:val="00F672EE"/>
    <w:rsid w:val="00F67826"/>
    <w:rsid w:val="00F718CF"/>
    <w:rsid w:val="00F730FD"/>
    <w:rsid w:val="00F75CE1"/>
    <w:rsid w:val="00F75E56"/>
    <w:rsid w:val="00F76355"/>
    <w:rsid w:val="00F77FEC"/>
    <w:rsid w:val="00F8076E"/>
    <w:rsid w:val="00F8107B"/>
    <w:rsid w:val="00F812F9"/>
    <w:rsid w:val="00F81F9B"/>
    <w:rsid w:val="00F840E4"/>
    <w:rsid w:val="00F84414"/>
    <w:rsid w:val="00F844A8"/>
    <w:rsid w:val="00F8503C"/>
    <w:rsid w:val="00F857B3"/>
    <w:rsid w:val="00F906C4"/>
    <w:rsid w:val="00F9086E"/>
    <w:rsid w:val="00F90FEF"/>
    <w:rsid w:val="00F934BE"/>
    <w:rsid w:val="00F9351C"/>
    <w:rsid w:val="00F93656"/>
    <w:rsid w:val="00F94864"/>
    <w:rsid w:val="00F959D5"/>
    <w:rsid w:val="00F969C0"/>
    <w:rsid w:val="00F977EE"/>
    <w:rsid w:val="00F97E41"/>
    <w:rsid w:val="00FA12CA"/>
    <w:rsid w:val="00FA4238"/>
    <w:rsid w:val="00FA6E95"/>
    <w:rsid w:val="00FB00D6"/>
    <w:rsid w:val="00FB0412"/>
    <w:rsid w:val="00FB1A0B"/>
    <w:rsid w:val="00FB1FD5"/>
    <w:rsid w:val="00FB2B0D"/>
    <w:rsid w:val="00FB38FB"/>
    <w:rsid w:val="00FB482F"/>
    <w:rsid w:val="00FB4ADE"/>
    <w:rsid w:val="00FB5CE0"/>
    <w:rsid w:val="00FB7689"/>
    <w:rsid w:val="00FC096B"/>
    <w:rsid w:val="00FC0DB9"/>
    <w:rsid w:val="00FC11D6"/>
    <w:rsid w:val="00FC11E4"/>
    <w:rsid w:val="00FC162F"/>
    <w:rsid w:val="00FC29E3"/>
    <w:rsid w:val="00FC2BAF"/>
    <w:rsid w:val="00FC2CC9"/>
    <w:rsid w:val="00FC3C9D"/>
    <w:rsid w:val="00FC48D6"/>
    <w:rsid w:val="00FC492E"/>
    <w:rsid w:val="00FC57D2"/>
    <w:rsid w:val="00FC5A94"/>
    <w:rsid w:val="00FC6F6A"/>
    <w:rsid w:val="00FC71DF"/>
    <w:rsid w:val="00FD2060"/>
    <w:rsid w:val="00FD26A1"/>
    <w:rsid w:val="00FD2FF0"/>
    <w:rsid w:val="00FD3D9F"/>
    <w:rsid w:val="00FD3FFE"/>
    <w:rsid w:val="00FD52BB"/>
    <w:rsid w:val="00FD566F"/>
    <w:rsid w:val="00FD5CCD"/>
    <w:rsid w:val="00FD6916"/>
    <w:rsid w:val="00FE2381"/>
    <w:rsid w:val="00FE24A0"/>
    <w:rsid w:val="00FE293C"/>
    <w:rsid w:val="00FE2C0C"/>
    <w:rsid w:val="00FE4987"/>
    <w:rsid w:val="00FE4FBC"/>
    <w:rsid w:val="00FE53B8"/>
    <w:rsid w:val="00FE6BAE"/>
    <w:rsid w:val="00FE754D"/>
    <w:rsid w:val="00FF0517"/>
    <w:rsid w:val="00FF065F"/>
    <w:rsid w:val="00FF0ED9"/>
    <w:rsid w:val="00FF10B1"/>
    <w:rsid w:val="00FF4DBF"/>
    <w:rsid w:val="00FF50C4"/>
    <w:rsid w:val="00FF56A0"/>
    <w:rsid w:val="00FF57A8"/>
    <w:rsid w:val="00FF6DB0"/>
    <w:rsid w:val="00FF7B9E"/>
    <w:rsid w:val="60C774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6">
    <w:name w:val="Date"/>
    <w:basedOn w:val="1"/>
    <w:next w:val="1"/>
    <w:uiPriority w:val="0"/>
    <w:pPr>
      <w:overflowPunct/>
      <w:snapToGrid/>
      <w:spacing w:line="240" w:lineRule="auto"/>
      <w:ind w:left="100" w:leftChars="2500" w:firstLine="0"/>
    </w:pPr>
    <w:rPr>
      <w:rFonts w:ascii="Times New Roman" w:eastAsia="宋体"/>
      <w:b/>
      <w:bCs/>
      <w:sz w:val="28"/>
      <w:szCs w:val="24"/>
    </w:rPr>
  </w:style>
  <w:style w:type="paragraph" w:styleId="7">
    <w:name w:val="Body Text Indent 2"/>
    <w:basedOn w:val="1"/>
    <w:uiPriority w:val="0"/>
    <w:pPr>
      <w:overflowPunct/>
      <w:autoSpaceDE w:val="0"/>
      <w:autoSpaceDN w:val="0"/>
      <w:spacing w:line="567" w:lineRule="atLeast"/>
      <w:ind w:left="1120" w:hanging="1120" w:hangingChars="400"/>
    </w:pPr>
    <w:rPr>
      <w:sz w:val="28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28"/>
    <w:uiPriority w:val="99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640" w:firstLineChars="0"/>
      <w:jc w:val="center"/>
    </w:pPr>
    <w:rPr>
      <w:sz w:val="24"/>
      <w:lang w:val="zh-CN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1">
    <w:name w:val="Body Text Indent 3"/>
    <w:basedOn w:val="1"/>
    <w:uiPriority w:val="0"/>
    <w:pPr>
      <w:overflowPunct/>
      <w:snapToGrid/>
      <w:spacing w:line="440" w:lineRule="exact"/>
      <w:ind w:left="540" w:firstLine="538" w:firstLineChars="192"/>
    </w:pPr>
    <w:rPr>
      <w:rFonts w:ascii="Times New Roman" w:eastAsia="宋体"/>
      <w:sz w:val="28"/>
      <w:szCs w:val="24"/>
    </w:rPr>
  </w:style>
  <w:style w:type="paragraph" w:styleId="12">
    <w:name w:val="Normal (Web)"/>
    <w:basedOn w:val="1"/>
    <w:uiPriority w:val="99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uiPriority w:val="0"/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paragraph" w:customStyle="1" w:styleId="19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简体"/>
      <w:sz w:val="44"/>
    </w:rPr>
  </w:style>
  <w:style w:type="paragraph" w:customStyle="1" w:styleId="20">
    <w:name w:val="标题2"/>
    <w:basedOn w:val="1"/>
    <w:next w:val="1"/>
    <w:uiPriority w:val="0"/>
    <w:pPr>
      <w:ind w:firstLine="0" w:firstLineChars="0"/>
      <w:jc w:val="center"/>
    </w:pPr>
    <w:rPr>
      <w:rFonts w:ascii="方正楷体_GBK" w:hAnsi="Book Antiqua" w:eastAsia="楷体_GB2312"/>
    </w:rPr>
  </w:style>
  <w:style w:type="paragraph" w:customStyle="1" w:styleId="21">
    <w:name w:val="标题3"/>
    <w:basedOn w:val="1"/>
    <w:next w:val="1"/>
    <w:uiPriority w:val="0"/>
    <w:pPr>
      <w:adjustRightInd w:val="0"/>
    </w:pPr>
    <w:rPr>
      <w:rFonts w:ascii="方正黑体简体" w:eastAsia="方正黑体简体"/>
    </w:rPr>
  </w:style>
  <w:style w:type="paragraph" w:customStyle="1" w:styleId="22">
    <w:name w:val="标题4"/>
    <w:basedOn w:val="21"/>
    <w:next w:val="1"/>
    <w:uiPriority w:val="0"/>
    <w:pPr>
      <w:jc w:val="center"/>
    </w:pPr>
  </w:style>
  <w:style w:type="paragraph" w:customStyle="1" w:styleId="23">
    <w:name w:val="标题5"/>
    <w:basedOn w:val="1"/>
    <w:next w:val="1"/>
    <w:uiPriority w:val="0"/>
    <w:rPr>
      <w:rFonts w:ascii="方正楷体简体" w:eastAsia="方正楷体简体"/>
    </w:rPr>
  </w:style>
  <w:style w:type="paragraph" w:customStyle="1" w:styleId="24">
    <w:name w:val="文头"/>
    <w:basedOn w:val="1"/>
    <w:uiPriority w:val="0"/>
    <w:pPr>
      <w:overflowPunct/>
      <w:autoSpaceDE w:val="0"/>
      <w:autoSpaceDN w:val="0"/>
      <w:adjustRightInd w:val="0"/>
      <w:snapToGrid/>
      <w:spacing w:before="320" w:line="227" w:lineRule="atLeast"/>
      <w:ind w:left="227" w:right="227" w:firstLine="0" w:firstLineChars="0"/>
      <w:jc w:val="distribute"/>
    </w:pPr>
    <w:rPr>
      <w:rFonts w:ascii="汉鼎简大宋" w:hAnsi="汉鼎简大宋" w:eastAsia="汉鼎简大宋"/>
      <w:snapToGrid w:val="0"/>
      <w:color w:val="FF0000"/>
      <w:spacing w:val="36"/>
      <w:w w:val="82"/>
      <w:kern w:val="0"/>
      <w:sz w:val="90"/>
    </w:rPr>
  </w:style>
  <w:style w:type="paragraph" w:styleId="25">
    <w:name w:val="List Paragraph"/>
    <w:basedOn w:val="1"/>
    <w:qFormat/>
    <w:uiPriority w:val="0"/>
    <w:pPr>
      <w:overflowPunct/>
      <w:snapToGrid/>
      <w:spacing w:line="240" w:lineRule="auto"/>
      <w:ind w:firstLine="420"/>
    </w:pPr>
    <w:rPr>
      <w:rFonts w:ascii="Calibri" w:hAnsi="Calibri" w:eastAsia="宋体"/>
      <w:sz w:val="21"/>
      <w:szCs w:val="22"/>
    </w:rPr>
  </w:style>
  <w:style w:type="paragraph" w:customStyle="1" w:styleId="26">
    <w:name w:val="Char Char Char"/>
    <w:basedOn w:val="1"/>
    <w:uiPriority w:val="0"/>
    <w:pPr>
      <w:widowControl/>
      <w:overflowPunct/>
      <w:snapToGrid/>
      <w:spacing w:after="160" w:line="240" w:lineRule="exact"/>
      <w:ind w:firstLine="0" w:firstLineChars="0"/>
      <w:jc w:val="left"/>
    </w:pPr>
    <w:rPr>
      <w:rFonts w:ascii="Verdana" w:hAnsi="Verdana" w:cs="Calibri"/>
      <w:kern w:val="0"/>
      <w:sz w:val="20"/>
      <w:lang w:eastAsia="en-US"/>
    </w:rPr>
  </w:style>
  <w:style w:type="paragraph" w:customStyle="1" w:styleId="27">
    <w:name w:val="Char Char1"/>
    <w:basedOn w:val="1"/>
    <w:uiPriority w:val="0"/>
    <w:pPr>
      <w:widowControl/>
      <w:overflowPunct/>
      <w:snapToGrid/>
      <w:spacing w:after="160" w:line="240" w:lineRule="exact"/>
      <w:ind w:firstLine="0" w:firstLineChars="0"/>
      <w:jc w:val="left"/>
    </w:pPr>
    <w:rPr>
      <w:rFonts w:ascii="Times New Roman" w:hAnsi="Times New Roman" w:eastAsia="宋体"/>
      <w:sz w:val="21"/>
      <w:szCs w:val="24"/>
    </w:rPr>
  </w:style>
  <w:style w:type="character" w:customStyle="1" w:styleId="28">
    <w:name w:val="页脚 Char"/>
    <w:link w:val="9"/>
    <w:uiPriority w:val="99"/>
    <w:rPr>
      <w:rFonts w:ascii="Times" w:hAnsi="Times" w:eastAsia="仿宋_GB2312"/>
      <w:kern w:val="2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A4(GB2312&#23383;&#20307;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2A91-8C1A-458D-BEB2-CC0079D88B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A4(GB2312字体)</Template>
  <Company>China</Company>
  <Pages>21</Pages>
  <Words>11033</Words>
  <Characters>11707</Characters>
  <Lines>85</Lines>
  <Paragraphs>24</Paragraphs>
  <TotalTime>461</TotalTime>
  <ScaleCrop>false</ScaleCrop>
  <LinksUpToDate>false</LinksUpToDate>
  <CharactersWithSpaces>11710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2017-12-25T05:08:00Z</dcterms:created>
  <dc:creator>admin</dc:creator>
  <cp:lastModifiedBy>cathq</cp:lastModifiedBy>
  <cp:lastPrinted>2018-01-04T01:48:00Z</cp:lastPrinted>
  <dcterms:modified xsi:type="dcterms:W3CDTF">2022-11-23T06:06:05Z</dcterms:modified>
  <dc:title>公文通报模板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E1EF7EFC4D6A4E37A3FC25B4F8F0278F</vt:lpwstr>
  </property>
</Properties>
</file>