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B7" w:rsidRDefault="00EF6515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855B7" w:rsidRDefault="00EF6515">
      <w:pPr>
        <w:spacing w:line="44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年政务公开考核评估指标（</w:t>
      </w: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地</w:t>
      </w: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区版）</w:t>
      </w:r>
    </w:p>
    <w:tbl>
      <w:tblPr>
        <w:tblW w:w="13765" w:type="dxa"/>
        <w:tblInd w:w="93" w:type="dxa"/>
        <w:tblLook w:val="04A0"/>
      </w:tblPr>
      <w:tblGrid>
        <w:gridCol w:w="866"/>
        <w:gridCol w:w="1486"/>
        <w:gridCol w:w="3030"/>
        <w:gridCol w:w="3420"/>
        <w:gridCol w:w="1185"/>
        <w:gridCol w:w="1305"/>
        <w:gridCol w:w="1290"/>
        <w:gridCol w:w="1183"/>
      </w:tblGrid>
      <w:tr w:rsidR="00B855B7">
        <w:trPr>
          <w:trHeight w:val="43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（权重）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自评成绩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自评依据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考评</w:t>
            </w: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考评成绩</w:t>
            </w:r>
          </w:p>
        </w:tc>
      </w:tr>
      <w:tr w:rsidR="00B855B7">
        <w:trPr>
          <w:trHeight w:val="26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政务公开基础工作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按照最新要求规范做好新增公文的公开属性认定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政府信息公开年报：及时、集中发布年报；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数据准确、格式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制定公文未提出公开属性意见，文件未标注主动公开、部分公开、依申请公开、不予公开等属性的，每例扣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政府信息公开年报未按时公开的，扣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分；填报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数据不准确、格式不规范的，扣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行政规范性文件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集中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公开（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清理现行有效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的行政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规范性文件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按照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标准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格式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上传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至省统一平台（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网站信息公开栏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目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设置专栏展示链接并公开文件，及时下架失效废止的文件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清理和上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传工作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未完成的每件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分，扣完为止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格式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不规范的每件扣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网站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未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进行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的，每件扣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，失效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废止文件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未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及时下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每件扣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2826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政务公开平台建设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政府网站做好政府信息分类展示，规范设置更新法定主动公开和内容栏目；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及时维护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更新内容；做好安全防护；做好网站季度检查整改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加强本地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政务新媒体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监管，落实上级各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项工作部署；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规范政务新媒体运维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政务公开专区：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区级以上政务服务中心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开设专区，提供政府信息查询服务；开展重要政策现场解读，政务服务流程展示等活动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政府网站栏目更新不及时，每次扣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分，发布的信息存在表述错误，每项扣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分，季度巡查问题整改不及时，每项扣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分，出现安全漏洞每次项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pStyle w:val="a6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>
              <w:rPr>
                <w:rFonts w:ascii="Times New Roman" w:eastAsia="方正仿宋_GBK" w:hAnsi="Times New Roman" w:cs="Times New Roman" w:hint="eastAsia"/>
              </w:rPr>
              <w:t>根据《</w:t>
            </w:r>
            <w:r>
              <w:rPr>
                <w:rFonts w:ascii="Times New Roman" w:eastAsia="方正仿宋_GBK" w:hAnsi="Times New Roman" w:cs="Times New Roman"/>
              </w:rPr>
              <w:t>政务新媒体</w:t>
            </w:r>
            <w:r>
              <w:rPr>
                <w:rFonts w:ascii="Times New Roman" w:eastAsia="方正仿宋_GBK" w:hAnsi="Times New Roman" w:cs="Times New Roman" w:hint="eastAsia"/>
              </w:rPr>
              <w:t>运行情况评估</w:t>
            </w:r>
            <w:r>
              <w:rPr>
                <w:rFonts w:ascii="Times New Roman" w:eastAsia="方正仿宋_GBK" w:hAnsi="Times New Roman" w:cs="Times New Roman"/>
              </w:rPr>
              <w:t>指标</w:t>
            </w:r>
            <w:r>
              <w:rPr>
                <w:rFonts w:ascii="Times New Roman" w:eastAsia="方正仿宋_GBK" w:hAnsi="Times New Roman" w:cs="Times New Roman" w:hint="eastAsia"/>
              </w:rPr>
              <w:t>》折合分数。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政务公开专区功能不完善或未向群众提供相应服务的，扣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800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政策解读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政策解读与政策文件同步发布；解读重点突出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，通俗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；政策解读与政策文件设置双向跳转链接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解读形式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多样，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采用文字解读、图示图解、视频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动漫等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多元化解读形式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探索政策集成式发布；开展线上线下精准推送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进行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标签化管理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政策解读与政策文件发布不同步的，每项扣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解读内容空泛，形式单一，无重点，仓促成文，敷衍了事的，每项扣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分。</w:t>
            </w: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906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政务公开标准化规范化建设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落实基层政务公开标准化规范化要求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，及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调整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补充完善基层政务公开事项目录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基层政务公开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事项调整更新不及时，办事指南要素不全的，每项扣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3840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依申请公开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程序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规范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，并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在法定时间内进行答复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无纠错、撤销情况（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妥善处理依申请投诉举报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问题（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依申请答复出现违法情况但未被提起复议或诉讼的，每例扣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行政复议和行政诉讼每纠错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监管机构不依法履行监管职能，未依法处理投诉问题的，每例扣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分；被投诉单位确有错误的，该单位每例扣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2321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政民互动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畅通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政民互动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网络渠道，办好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民声留言板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企业留言板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相关事项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办好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政府开放月活动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群众和企业留言事项未按规定时间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回应或办理不及时，每例扣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全市政府开放月活动组织不力，扣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2511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组织体系和监督保障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组织领导体系健全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列入有关培训课程，开展政务公开专项培训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将政务公开工作列入绩效考核体系，政务公开考核结果向社会公开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对本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区政务公开工作进行指导、监督、检查情况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完成上级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交办的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日常工作（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根据每项工作完成情况作相应评分。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（自评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材料及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依据）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2511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政务公开工作创新提优（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依申请公开、政务新媒体建设、政务公开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方式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、政策精准解读和推送、规范化标准化建设等方面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举措，并报送经验成果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创新举措经验材料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被市级选用，每件加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分；被省级选用每件加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分；被国务院选用每件加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分；加完为止。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386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总分（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855B7" w:rsidRDefault="00B855B7">
      <w:pPr>
        <w:spacing w:afterAutospacing="0" w:line="300" w:lineRule="exact"/>
        <w:rPr>
          <w:rFonts w:ascii="黑体" w:eastAsia="黑体" w:hAnsi="黑体" w:cs="黑体"/>
          <w:sz w:val="32"/>
          <w:szCs w:val="32"/>
        </w:rPr>
      </w:pPr>
    </w:p>
    <w:p w:rsidR="00B855B7" w:rsidRDefault="00B855B7">
      <w:pPr>
        <w:spacing w:afterAutospacing="0" w:line="300" w:lineRule="exact"/>
        <w:rPr>
          <w:rFonts w:ascii="黑体" w:eastAsia="黑体" w:hAnsi="黑体" w:cs="黑体"/>
          <w:sz w:val="32"/>
          <w:szCs w:val="32"/>
        </w:rPr>
      </w:pPr>
    </w:p>
    <w:p w:rsidR="00B855B7" w:rsidRDefault="00EF6515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B855B7" w:rsidRDefault="00EF6515">
      <w:pPr>
        <w:spacing w:line="44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年政务公开考核评估指标（部</w:t>
      </w:r>
      <w:proofErr w:type="gramStart"/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门版</w:t>
      </w:r>
      <w:proofErr w:type="gramEnd"/>
      <w:r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）</w:t>
      </w: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501"/>
        <w:gridCol w:w="3120"/>
        <w:gridCol w:w="3365"/>
        <w:gridCol w:w="1135"/>
        <w:gridCol w:w="1320"/>
        <w:gridCol w:w="1275"/>
        <w:gridCol w:w="1183"/>
      </w:tblGrid>
      <w:tr w:rsidR="00B855B7">
        <w:trPr>
          <w:trHeight w:val="435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（权重）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left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自评成绩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自评依据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24"/>
                <w:szCs w:val="24"/>
              </w:rPr>
              <w:t>考评方式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240" w:lineRule="auto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考评成绩</w:t>
            </w:r>
          </w:p>
        </w:tc>
      </w:tr>
      <w:tr w:rsidR="00B855B7">
        <w:trPr>
          <w:trHeight w:val="2926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政务公开基础工作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(10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公文属性认定：按照最新要求规范做好新增公文的公开属性认定。（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政府信息公开年报：及时、集中发布年报；数据准确、格式规范。（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制定公文未提出公开属性意见，文件未标注主动公开、部分公开、依申请公开、不予公开等属性的，每例扣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政府信息公开年报未按时公开的，扣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分；填报数据不准确、格式不规范的，扣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市政府办公室考评或第三方评估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2826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规章、行政规范性文件公开（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完成清理现行有效的行政规范性文件（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按照标准格式完成上传至省统一平台（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在政府网站信息公开栏目设置专栏展示链接并公开文件，及时下架失效废止的文件（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清理和上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传工作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未完成的每件扣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分，扣完为止。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格式不规范的每件扣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在政府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网站未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进行公开的，每件扣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分，失效和废止文件未及时下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每件扣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市政府办公室考评或第三方评估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986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政务公开平台建设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政府网站做好政府信息分类展示，规范设置更新法定主动公开和内容栏目；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及时维护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更新内容；做好安全防护；做好网站季度检查并整改（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规范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政务新媒体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运维，完善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服务功能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，开展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政民互动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，强化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保障并及时更新，及时整改发现的问题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政府网站栏目更新不及时，每次扣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分，发布的信息存在表述错误，每项扣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分，季度巡查问题整改不及时，每项扣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分，出现安全漏洞每次项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pStyle w:val="a6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>
              <w:rPr>
                <w:rFonts w:ascii="Times New Roman" w:eastAsia="方正仿宋_GBK" w:hAnsi="Times New Roman" w:cs="Times New Roman" w:hint="eastAsia"/>
              </w:rPr>
              <w:t>根据《</w:t>
            </w:r>
            <w:r>
              <w:rPr>
                <w:rFonts w:ascii="Times New Roman" w:eastAsia="方正仿宋_GBK" w:hAnsi="Times New Roman" w:cs="Times New Roman"/>
              </w:rPr>
              <w:t>政务新媒体</w:t>
            </w:r>
            <w:r>
              <w:rPr>
                <w:rFonts w:ascii="Times New Roman" w:eastAsia="方正仿宋_GBK" w:hAnsi="Times New Roman" w:cs="Times New Roman" w:hint="eastAsia"/>
              </w:rPr>
              <w:t>运行情况评估</w:t>
            </w:r>
            <w:r>
              <w:rPr>
                <w:rFonts w:ascii="Times New Roman" w:eastAsia="方正仿宋_GBK" w:hAnsi="Times New Roman" w:cs="Times New Roman"/>
              </w:rPr>
              <w:t>指标</w:t>
            </w:r>
            <w:r>
              <w:rPr>
                <w:rFonts w:ascii="Times New Roman" w:eastAsia="方正仿宋_GBK" w:hAnsi="Times New Roman" w:cs="Times New Roman" w:hint="eastAsia"/>
              </w:rPr>
              <w:t>》折合分数。</w:t>
            </w: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市政府办公室考评或第三方评估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政策解读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政策解读与政策文件同步发布；解读重点突出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，通俗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；政策解读与政策文件设置双向跳转链接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解读形式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多样，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采用文字解读、图示图解、视频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动漫等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多元化解读形式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探索政策集成式发布；开展线上线下精准推送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政策文件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进行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标签化管理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政策解读与政策文件发布不同步的，每项扣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解读内容空泛，形式单一，无重点，仓促成文，敷衍了事的，每项扣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上传至惠企通平台的政策标签不准确的，每项扣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依申请公开办理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办理程序规范，并在法定时间内进行答复（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无纠错、撤销情况（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妥善处理依申请投诉举报问题（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依申请答复出现违法情况但未被提起复议或诉讼的，每例扣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行政复议和行政诉讼每纠错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监管机构不依法履行监管职能，未依法处理投诉问题的，每例扣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分；被投诉单位确有错误的，该单位每例扣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政民互动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畅通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政民互动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网络渠道，办好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民声留言板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企业留言板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相关事项（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响应政府开放月活动（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群众和企业留言事项未按规定时间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回应或办理不及时，每例扣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政府开放月活动无故不参与的，扣除相应分。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（自评材料及依据）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004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便民服务（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依托自身职能建设优化互联网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平台的服务功能（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完善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服务功能的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自助服务和自动问答（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各行业主管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部逐步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推进和指导所属公共企事业单位民生服务类信息公开（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根据每项工作完成情况作相应评分。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市政府办公室测评、第三方评估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组织体系和监督保障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组织领导体系健全（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组织业务培训或参加全市政务公开工作培训（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将政务公开工作列入绩效考核体系，政务公开考核结果向社会公开（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对下级条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线部门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相关业务的政务公开工作进行指导、监督、检查（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分）。</w:t>
            </w:r>
          </w:p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完成上级交办的工作（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）。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根据每项工作完成情况作相应评分。</w:t>
            </w: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政务公开工作创新提优（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在依申请公开、政务新媒体建设、政务公开方式、政策精准解读和推送、政务公开服务社会等方面有创新举措，并报送经验材料（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创新举措经验材料被市级选用，每件加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分；被省级选用每件加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分；被国务院选用每件加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分；加完为止。</w:t>
            </w: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855B7">
        <w:trPr>
          <w:trHeight w:val="1431"/>
        </w:trPr>
        <w:tc>
          <w:tcPr>
            <w:tcW w:w="866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855B7" w:rsidRDefault="00EF6515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总分（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B855B7" w:rsidRDefault="00B855B7">
            <w:pPr>
              <w:widowControl/>
              <w:spacing w:after="0" w:afterAutospacing="0"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55B7" w:rsidRDefault="00B855B7">
      <w:pPr>
        <w:spacing w:line="380" w:lineRule="exact"/>
      </w:pPr>
    </w:p>
    <w:p w:rsidR="00B855B7" w:rsidRDefault="00B855B7"/>
    <w:p w:rsidR="00B855B7" w:rsidRDefault="00B855B7"/>
    <w:p w:rsidR="00B855B7" w:rsidRDefault="00B855B7"/>
    <w:p w:rsidR="00B855B7" w:rsidRDefault="00B855B7"/>
    <w:sectPr w:rsidR="00B855B7" w:rsidSect="00B855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7" w:rsidRDefault="00EF6515">
      <w:pPr>
        <w:spacing w:line="240" w:lineRule="auto"/>
      </w:pPr>
      <w:r>
        <w:separator/>
      </w:r>
    </w:p>
  </w:endnote>
  <w:endnote w:type="continuationSeparator" w:id="0">
    <w:p w:rsidR="00B855B7" w:rsidRDefault="00EF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7" w:rsidRDefault="00EF6515">
      <w:pPr>
        <w:spacing w:after="0" w:line="240" w:lineRule="auto"/>
      </w:pPr>
      <w:r>
        <w:separator/>
      </w:r>
    </w:p>
  </w:footnote>
  <w:footnote w:type="continuationSeparator" w:id="0">
    <w:p w:rsidR="00B855B7" w:rsidRDefault="00EF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hMjM1ZTE0ZDVlZGEwMjcxZDBiNjc5ZDFlNzJkMGMifQ=="/>
  </w:docVars>
  <w:rsids>
    <w:rsidRoot w:val="009862CA"/>
    <w:rsid w:val="0001683C"/>
    <w:rsid w:val="0005560C"/>
    <w:rsid w:val="000B6FF2"/>
    <w:rsid w:val="000C204A"/>
    <w:rsid w:val="000D332A"/>
    <w:rsid w:val="000E6DB3"/>
    <w:rsid w:val="001370D7"/>
    <w:rsid w:val="00162D29"/>
    <w:rsid w:val="00163AF8"/>
    <w:rsid w:val="0016539E"/>
    <w:rsid w:val="00180AAE"/>
    <w:rsid w:val="00190D49"/>
    <w:rsid w:val="001B7929"/>
    <w:rsid w:val="001C4A3A"/>
    <w:rsid w:val="001F0DC7"/>
    <w:rsid w:val="001F22A8"/>
    <w:rsid w:val="0020123E"/>
    <w:rsid w:val="00210220"/>
    <w:rsid w:val="0022002E"/>
    <w:rsid w:val="00226ABD"/>
    <w:rsid w:val="00231651"/>
    <w:rsid w:val="00266463"/>
    <w:rsid w:val="00273472"/>
    <w:rsid w:val="00276873"/>
    <w:rsid w:val="00280E65"/>
    <w:rsid w:val="002B23F7"/>
    <w:rsid w:val="002E4735"/>
    <w:rsid w:val="00311A31"/>
    <w:rsid w:val="00312E1A"/>
    <w:rsid w:val="00322624"/>
    <w:rsid w:val="00323F81"/>
    <w:rsid w:val="00353F7E"/>
    <w:rsid w:val="003551FC"/>
    <w:rsid w:val="00361F34"/>
    <w:rsid w:val="003D1991"/>
    <w:rsid w:val="003D370A"/>
    <w:rsid w:val="003E1238"/>
    <w:rsid w:val="00400586"/>
    <w:rsid w:val="004135AA"/>
    <w:rsid w:val="00453286"/>
    <w:rsid w:val="00456FCA"/>
    <w:rsid w:val="00461EEA"/>
    <w:rsid w:val="00476D5E"/>
    <w:rsid w:val="00477D1C"/>
    <w:rsid w:val="004B4C32"/>
    <w:rsid w:val="004D2E01"/>
    <w:rsid w:val="0051019A"/>
    <w:rsid w:val="00517A83"/>
    <w:rsid w:val="00580FCA"/>
    <w:rsid w:val="00594E79"/>
    <w:rsid w:val="005B1E7F"/>
    <w:rsid w:val="005C0908"/>
    <w:rsid w:val="005D1A94"/>
    <w:rsid w:val="006033C6"/>
    <w:rsid w:val="006319E7"/>
    <w:rsid w:val="00635395"/>
    <w:rsid w:val="00650254"/>
    <w:rsid w:val="00665621"/>
    <w:rsid w:val="006803C9"/>
    <w:rsid w:val="006805C4"/>
    <w:rsid w:val="00680DF1"/>
    <w:rsid w:val="00697323"/>
    <w:rsid w:val="006C710B"/>
    <w:rsid w:val="006F2D4D"/>
    <w:rsid w:val="00713F26"/>
    <w:rsid w:val="00721DC9"/>
    <w:rsid w:val="00727AD5"/>
    <w:rsid w:val="0075017C"/>
    <w:rsid w:val="00765D57"/>
    <w:rsid w:val="00766989"/>
    <w:rsid w:val="00771531"/>
    <w:rsid w:val="00780367"/>
    <w:rsid w:val="007858E2"/>
    <w:rsid w:val="007B5542"/>
    <w:rsid w:val="007D35BC"/>
    <w:rsid w:val="007F2E72"/>
    <w:rsid w:val="00827B4C"/>
    <w:rsid w:val="00852C4E"/>
    <w:rsid w:val="008604A5"/>
    <w:rsid w:val="0086080E"/>
    <w:rsid w:val="00887215"/>
    <w:rsid w:val="00894646"/>
    <w:rsid w:val="008D1315"/>
    <w:rsid w:val="00926E58"/>
    <w:rsid w:val="00960347"/>
    <w:rsid w:val="009862CA"/>
    <w:rsid w:val="009901D6"/>
    <w:rsid w:val="009901EC"/>
    <w:rsid w:val="009F4B31"/>
    <w:rsid w:val="00A02420"/>
    <w:rsid w:val="00A27E9F"/>
    <w:rsid w:val="00A44DD6"/>
    <w:rsid w:val="00A7305E"/>
    <w:rsid w:val="00AA0DC0"/>
    <w:rsid w:val="00AD0CC3"/>
    <w:rsid w:val="00AE10FE"/>
    <w:rsid w:val="00B3649E"/>
    <w:rsid w:val="00B413D7"/>
    <w:rsid w:val="00B65B40"/>
    <w:rsid w:val="00B82167"/>
    <w:rsid w:val="00B84C3A"/>
    <w:rsid w:val="00B855B7"/>
    <w:rsid w:val="00BA210A"/>
    <w:rsid w:val="00BE4E61"/>
    <w:rsid w:val="00BF1F5D"/>
    <w:rsid w:val="00C44624"/>
    <w:rsid w:val="00C90C4E"/>
    <w:rsid w:val="00CB2057"/>
    <w:rsid w:val="00CB7FE8"/>
    <w:rsid w:val="00CC707D"/>
    <w:rsid w:val="00CE5139"/>
    <w:rsid w:val="00D4692B"/>
    <w:rsid w:val="00D916C7"/>
    <w:rsid w:val="00D939C6"/>
    <w:rsid w:val="00DA77C9"/>
    <w:rsid w:val="00DD248E"/>
    <w:rsid w:val="00E6270A"/>
    <w:rsid w:val="00E75EAA"/>
    <w:rsid w:val="00EC38E1"/>
    <w:rsid w:val="00ED27B0"/>
    <w:rsid w:val="00EF4EBF"/>
    <w:rsid w:val="00EF6515"/>
    <w:rsid w:val="00F33B7D"/>
    <w:rsid w:val="00F643C3"/>
    <w:rsid w:val="00F6607F"/>
    <w:rsid w:val="00FC39B6"/>
    <w:rsid w:val="18012AA0"/>
    <w:rsid w:val="2B0661EA"/>
    <w:rsid w:val="34B55463"/>
    <w:rsid w:val="34F92FC0"/>
    <w:rsid w:val="4AD122BB"/>
    <w:rsid w:val="50DD256A"/>
    <w:rsid w:val="5238336E"/>
    <w:rsid w:val="62836AF5"/>
    <w:rsid w:val="628C1B2E"/>
    <w:rsid w:val="7E83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B7"/>
    <w:pPr>
      <w:widowControl w:val="0"/>
      <w:spacing w:after="100" w:afterAutospacing="1"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855B7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855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85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B855B7"/>
    <w:pPr>
      <w:widowControl/>
      <w:spacing w:before="100" w:before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B855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855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5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范晖</cp:lastModifiedBy>
  <cp:revision>21</cp:revision>
  <cp:lastPrinted>2023-05-31T02:16:00Z</cp:lastPrinted>
  <dcterms:created xsi:type="dcterms:W3CDTF">2023-05-22T02:00:00Z</dcterms:created>
  <dcterms:modified xsi:type="dcterms:W3CDTF">2023-06-08T09:16:00Z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100FF3F4B68A41B7B3719895107122D3_13</vt:lpwstr>
  </property>
</Properties>
</file>