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0A2F5">
      <w:pPr>
        <w:spacing w:line="360" w:lineRule="auto"/>
        <w:ind w:firstLine="480"/>
        <w:jc w:val="center"/>
        <w:rPr>
          <w:rFonts w:ascii="宋体" w:hAnsi="宋体" w:cs="宋体"/>
          <w:b/>
          <w:sz w:val="36"/>
          <w:szCs w:val="36"/>
        </w:rPr>
      </w:pPr>
      <w:r>
        <w:rPr>
          <w:rFonts w:hint="eastAsia" w:ascii="宋体" w:hAnsi="宋体" w:eastAsia="宋体" w:cs="宋体"/>
          <w:b/>
          <w:sz w:val="28"/>
          <w:szCs w:val="28"/>
        </w:rPr>
        <w:t>采购需求</w:t>
      </w:r>
    </w:p>
    <w:p w14:paraId="27BF9768">
      <w:pPr>
        <w:spacing w:line="360" w:lineRule="auto"/>
        <w:jc w:val="left"/>
        <w:rPr>
          <w:rFonts w:ascii="宋体" w:hAnsi="宋体" w:cs="宋体"/>
          <w:b/>
          <w:sz w:val="24"/>
          <w:szCs w:val="28"/>
        </w:rPr>
      </w:pPr>
      <w:r>
        <w:rPr>
          <w:rFonts w:hint="eastAsia" w:ascii="宋体" w:hAnsi="宋体" w:eastAsia="宋体" w:cs="宋体"/>
          <w:b/>
          <w:sz w:val="24"/>
          <w:szCs w:val="28"/>
        </w:rPr>
        <w:t>一、项目概况</w:t>
      </w:r>
    </w:p>
    <w:p w14:paraId="0809CE02">
      <w:pPr>
        <w:spacing w:line="360" w:lineRule="auto"/>
        <w:ind w:firstLine="480"/>
        <w:jc w:val="left"/>
        <w:rPr>
          <w:rFonts w:ascii="宋体" w:hAnsi="宋体" w:cs="宋体"/>
          <w:sz w:val="24"/>
          <w:szCs w:val="28"/>
          <w:highlight w:val="none"/>
        </w:rPr>
      </w:pPr>
      <w:r>
        <w:rPr>
          <w:rFonts w:hint="eastAsia" w:ascii="宋体" w:hAnsi="宋体" w:eastAsia="宋体" w:cs="宋体"/>
          <w:sz w:val="24"/>
          <w:szCs w:val="28"/>
        </w:rPr>
        <w:t>1.项目名称</w:t>
      </w:r>
      <w:r>
        <w:rPr>
          <w:rFonts w:hint="eastAsia" w:ascii="宋体" w:hAnsi="宋体" w:eastAsia="宋体" w:cs="宋体"/>
          <w:sz w:val="24"/>
          <w:szCs w:val="28"/>
          <w:highlight w:val="none"/>
        </w:rPr>
        <w:t>：2025年蠡园街道秦巷浜水处理设备更新及运行项目；</w:t>
      </w:r>
    </w:p>
    <w:p w14:paraId="7CD4A08E">
      <w:pPr>
        <w:spacing w:line="360" w:lineRule="auto"/>
        <w:ind w:firstLine="480"/>
        <w:jc w:val="left"/>
        <w:rPr>
          <w:rFonts w:ascii="宋体" w:hAnsi="宋体" w:cs="宋体"/>
          <w:sz w:val="24"/>
          <w:szCs w:val="28"/>
          <w:highlight w:val="none"/>
        </w:rPr>
      </w:pPr>
      <w:r>
        <w:rPr>
          <w:rFonts w:hint="eastAsia" w:ascii="宋体" w:hAnsi="宋体" w:eastAsia="宋体" w:cs="宋体"/>
          <w:sz w:val="24"/>
          <w:szCs w:val="28"/>
          <w:highlight w:val="none"/>
        </w:rPr>
        <w:t>2.项目内容：提供一套污水处理量为</w:t>
      </w:r>
      <w:r>
        <w:rPr>
          <w:rFonts w:ascii="宋体" w:hAnsi="宋体" w:eastAsia="宋体" w:cs="宋体"/>
          <w:sz w:val="24"/>
          <w:szCs w:val="28"/>
          <w:highlight w:val="none"/>
        </w:rPr>
        <w:t>1000m³/d</w:t>
      </w:r>
      <w:r>
        <w:rPr>
          <w:rFonts w:hint="eastAsia" w:ascii="宋体" w:hAnsi="宋体" w:eastAsia="宋体" w:cs="宋体"/>
          <w:sz w:val="24"/>
          <w:szCs w:val="28"/>
          <w:highlight w:val="none"/>
        </w:rPr>
        <w:t>的一体化污水处理设施及1年期的运营服务；</w:t>
      </w:r>
    </w:p>
    <w:p w14:paraId="0C7BBCBA">
      <w:pPr>
        <w:spacing w:line="360" w:lineRule="auto"/>
        <w:ind w:firstLine="480"/>
        <w:jc w:val="left"/>
        <w:rPr>
          <w:rFonts w:ascii="宋体" w:hAnsi="宋体" w:eastAsia="宋体" w:cs="宋体"/>
          <w:sz w:val="24"/>
          <w:szCs w:val="28"/>
          <w:highlight w:val="none"/>
        </w:rPr>
      </w:pPr>
      <w:r>
        <w:rPr>
          <w:rFonts w:hint="eastAsia" w:ascii="宋体" w:hAnsi="宋体" w:eastAsia="宋体" w:cs="宋体"/>
          <w:sz w:val="24"/>
          <w:szCs w:val="28"/>
          <w:highlight w:val="none"/>
        </w:rPr>
        <w:t>3.服务质量要求：满足招标文件要求；</w:t>
      </w:r>
    </w:p>
    <w:p w14:paraId="7218862F">
      <w:pPr>
        <w:spacing w:line="360" w:lineRule="auto"/>
        <w:ind w:firstLine="480"/>
        <w:jc w:val="left"/>
        <w:rPr>
          <w:rFonts w:ascii="宋体" w:hAnsi="宋体" w:cs="宋体"/>
          <w:sz w:val="24"/>
          <w:szCs w:val="28"/>
          <w:highlight w:val="none"/>
        </w:rPr>
      </w:pPr>
      <w:r>
        <w:rPr>
          <w:rFonts w:hint="eastAsia" w:ascii="宋体" w:hAnsi="宋体" w:eastAsia="宋体" w:cs="宋体"/>
          <w:sz w:val="24"/>
          <w:szCs w:val="28"/>
          <w:highlight w:val="none"/>
        </w:rPr>
        <w:t>4.工期：具体开工日期以招标人开工报告为准，供货周期为合同签订10天内具备供货条件，设备基础具备安装条件，7天内安装完成；</w:t>
      </w:r>
    </w:p>
    <w:p w14:paraId="61DE38D4">
      <w:pPr>
        <w:spacing w:line="360" w:lineRule="auto"/>
        <w:ind w:firstLine="480"/>
        <w:jc w:val="left"/>
        <w:rPr>
          <w:rFonts w:ascii="宋体" w:hAnsi="宋体" w:cs="宋体"/>
          <w:sz w:val="24"/>
          <w:szCs w:val="28"/>
          <w:highlight w:val="none"/>
        </w:rPr>
      </w:pPr>
      <w:r>
        <w:rPr>
          <w:rFonts w:hint="eastAsia" w:ascii="宋体" w:hAnsi="宋体" w:eastAsia="宋体" w:cs="宋体"/>
          <w:sz w:val="24"/>
          <w:szCs w:val="28"/>
          <w:highlight w:val="none"/>
        </w:rPr>
        <w:t>5.服务期：1年，运行天数按3</w:t>
      </w:r>
      <w:r>
        <w:rPr>
          <w:rFonts w:hint="eastAsia" w:ascii="宋体" w:hAnsi="宋体" w:eastAsia="宋体" w:cs="宋体"/>
          <w:sz w:val="24"/>
          <w:szCs w:val="28"/>
          <w:highlight w:val="none"/>
          <w:lang w:val="en-US" w:eastAsia="zh-CN"/>
        </w:rPr>
        <w:t>65</w:t>
      </w:r>
      <w:bookmarkStart w:id="27" w:name="_GoBack"/>
      <w:bookmarkEnd w:id="27"/>
      <w:r>
        <w:rPr>
          <w:rFonts w:hint="eastAsia" w:ascii="宋体" w:hAnsi="宋体" w:eastAsia="宋体" w:cs="宋体"/>
          <w:sz w:val="24"/>
          <w:szCs w:val="28"/>
          <w:highlight w:val="none"/>
        </w:rPr>
        <w:t>天/年计，自合同约定运营管理服务期开始之日起算；</w:t>
      </w:r>
    </w:p>
    <w:p w14:paraId="3B2A7EDE">
      <w:pPr>
        <w:spacing w:line="360" w:lineRule="auto"/>
        <w:ind w:firstLine="480"/>
        <w:jc w:val="left"/>
        <w:rPr>
          <w:rFonts w:ascii="宋体" w:hAnsi="宋体" w:eastAsia="宋体" w:cs="宋体"/>
          <w:sz w:val="24"/>
          <w:szCs w:val="28"/>
          <w:highlight w:val="none"/>
        </w:rPr>
      </w:pPr>
      <w:r>
        <w:rPr>
          <w:rFonts w:hint="eastAsia" w:ascii="宋体" w:hAnsi="宋体" w:eastAsia="宋体" w:cs="宋体"/>
          <w:sz w:val="24"/>
          <w:szCs w:val="28"/>
          <w:highlight w:val="none"/>
        </w:rPr>
        <w:t>6.服务地点：无锡市滨湖区蠡园街道。</w:t>
      </w:r>
    </w:p>
    <w:p w14:paraId="45D9EE83">
      <w:pPr>
        <w:spacing w:line="360" w:lineRule="auto"/>
        <w:jc w:val="left"/>
        <w:rPr>
          <w:rFonts w:ascii="宋体" w:hAnsi="宋体" w:cs="宋体"/>
          <w:b/>
          <w:sz w:val="24"/>
          <w:szCs w:val="28"/>
          <w:highlight w:val="none"/>
        </w:rPr>
      </w:pPr>
      <w:r>
        <w:rPr>
          <w:rFonts w:hint="eastAsia" w:ascii="宋体" w:hAnsi="宋体" w:eastAsia="宋体" w:cs="宋体"/>
          <w:b/>
          <w:sz w:val="24"/>
          <w:szCs w:val="28"/>
          <w:highlight w:val="none"/>
        </w:rPr>
        <w:t>二、工作内容、任务、目标</w:t>
      </w:r>
    </w:p>
    <w:p w14:paraId="59CDF56D">
      <w:pPr>
        <w:spacing w:line="360" w:lineRule="auto"/>
        <w:ind w:firstLine="480"/>
        <w:rPr>
          <w:rFonts w:ascii="宋体" w:hAnsi="宋体" w:cs="宋体"/>
          <w:sz w:val="24"/>
          <w:szCs w:val="28"/>
        </w:rPr>
      </w:pPr>
      <w:r>
        <w:rPr>
          <w:rFonts w:hint="eastAsia" w:ascii="宋体" w:hAnsi="宋体" w:eastAsia="宋体" w:cs="宋体"/>
          <w:sz w:val="24"/>
          <w:szCs w:val="28"/>
          <w:highlight w:val="none"/>
        </w:rPr>
        <w:t>1、工作内容：提供一套污水处理量为1000m³/d的一体化污水处理设施及</w:t>
      </w:r>
      <w:r>
        <w:rPr>
          <w:rFonts w:ascii="宋体" w:hAnsi="宋体" w:eastAsia="宋体" w:cs="宋体"/>
          <w:sz w:val="24"/>
          <w:szCs w:val="28"/>
          <w:highlight w:val="none"/>
        </w:rPr>
        <w:t>1年</w:t>
      </w:r>
      <w:r>
        <w:rPr>
          <w:rFonts w:hint="eastAsia" w:ascii="宋体" w:hAnsi="宋体" w:eastAsia="宋体" w:cs="宋体"/>
          <w:sz w:val="24"/>
          <w:szCs w:val="28"/>
          <w:highlight w:val="none"/>
        </w:rPr>
        <w:t>期的运</w:t>
      </w:r>
      <w:r>
        <w:rPr>
          <w:rFonts w:hint="eastAsia" w:ascii="宋体" w:hAnsi="宋体" w:eastAsia="宋体" w:cs="宋体"/>
          <w:sz w:val="24"/>
          <w:szCs w:val="28"/>
        </w:rPr>
        <w:t>营服务。</w:t>
      </w:r>
    </w:p>
    <w:p w14:paraId="03080EF7">
      <w:pPr>
        <w:spacing w:line="360" w:lineRule="auto"/>
        <w:ind w:firstLine="480"/>
        <w:rPr>
          <w:rFonts w:ascii="宋体" w:hAnsi="宋体" w:eastAsia="宋体" w:cs="宋体"/>
          <w:sz w:val="24"/>
          <w:szCs w:val="28"/>
        </w:rPr>
      </w:pPr>
      <w:r>
        <w:rPr>
          <w:rFonts w:hint="eastAsia" w:ascii="宋体" w:hAnsi="宋体" w:eastAsia="宋体" w:cs="宋体"/>
          <w:sz w:val="24"/>
          <w:szCs w:val="28"/>
        </w:rPr>
        <w:t>2、工作任务：中标单位需完成应急项目处理点的：</w:t>
      </w:r>
    </w:p>
    <w:p w14:paraId="3E9EB43C">
      <w:pPr>
        <w:spacing w:line="360" w:lineRule="auto"/>
        <w:ind w:firstLine="480"/>
        <w:rPr>
          <w:rFonts w:ascii="宋体" w:hAnsi="宋体" w:eastAsia="宋体" w:cs="宋体"/>
          <w:sz w:val="24"/>
          <w:szCs w:val="28"/>
        </w:rPr>
      </w:pPr>
      <w:r>
        <w:rPr>
          <w:rFonts w:hint="eastAsia" w:ascii="宋体" w:hAnsi="宋体" w:eastAsia="宋体" w:cs="宋体"/>
          <w:sz w:val="24"/>
          <w:szCs w:val="28"/>
        </w:rPr>
        <w:t>①工艺设计、地质勘探；</w:t>
      </w:r>
    </w:p>
    <w:p w14:paraId="4FF1531A">
      <w:pPr>
        <w:spacing w:line="360" w:lineRule="auto"/>
        <w:ind w:firstLine="480"/>
        <w:rPr>
          <w:rFonts w:ascii="宋体" w:hAnsi="宋体" w:eastAsia="宋体" w:cs="宋体"/>
          <w:sz w:val="24"/>
          <w:szCs w:val="28"/>
        </w:rPr>
      </w:pPr>
      <w:r>
        <w:rPr>
          <w:rFonts w:hint="eastAsia" w:ascii="宋体" w:hAnsi="宋体" w:eastAsia="宋体" w:cs="宋体"/>
          <w:sz w:val="24"/>
          <w:szCs w:val="28"/>
        </w:rPr>
        <w:t>②对招标人提供的污水收集路由、水量、污水提升方式等方案进行校核及深化设计，负责现有管网与一体化污水处理设施设备之间的管道衔接、现场围蔽（需根据招标人对围蔽的要求）；</w:t>
      </w:r>
    </w:p>
    <w:p w14:paraId="049964EB">
      <w:pPr>
        <w:spacing w:line="360" w:lineRule="auto"/>
        <w:ind w:firstLine="480"/>
        <w:rPr>
          <w:rFonts w:ascii="宋体" w:hAnsi="宋体" w:eastAsia="宋体" w:cs="宋体"/>
          <w:sz w:val="24"/>
          <w:szCs w:val="28"/>
        </w:rPr>
      </w:pPr>
      <w:r>
        <w:rPr>
          <w:rFonts w:hint="eastAsia" w:ascii="宋体" w:hAnsi="宋体" w:eastAsia="宋体" w:cs="宋体"/>
          <w:sz w:val="24"/>
          <w:szCs w:val="28"/>
        </w:rPr>
        <w:t>③设备供货、安装、调试；</w:t>
      </w:r>
    </w:p>
    <w:p w14:paraId="33D28CF1">
      <w:pPr>
        <w:spacing w:line="360" w:lineRule="auto"/>
        <w:ind w:firstLine="480"/>
        <w:rPr>
          <w:rFonts w:ascii="宋体" w:hAnsi="宋体" w:eastAsia="宋体" w:cs="宋体"/>
          <w:sz w:val="24"/>
          <w:szCs w:val="28"/>
        </w:rPr>
      </w:pPr>
      <w:r>
        <w:rPr>
          <w:rFonts w:hint="eastAsia" w:ascii="宋体" w:hAnsi="宋体" w:eastAsia="宋体" w:cs="宋体"/>
          <w:sz w:val="24"/>
          <w:szCs w:val="28"/>
        </w:rPr>
        <w:t>④ 运营期间需按照国家相关法规处理好防火、环保、噪声控制、排污等工作。全部费用包含在中标单位的承担范围内。</w:t>
      </w:r>
    </w:p>
    <w:p w14:paraId="589B5C57">
      <w:pPr>
        <w:spacing w:line="360" w:lineRule="auto"/>
        <w:ind w:firstLine="480"/>
        <w:rPr>
          <w:rFonts w:ascii="宋体" w:hAnsi="宋体" w:cs="宋体"/>
          <w:sz w:val="24"/>
          <w:szCs w:val="28"/>
        </w:rPr>
      </w:pPr>
      <w:r>
        <w:rPr>
          <w:rFonts w:hint="eastAsia" w:ascii="宋体" w:hAnsi="宋体" w:cs="宋体"/>
          <w:sz w:val="24"/>
          <w:szCs w:val="28"/>
        </w:rPr>
        <w:t>箱涵的开挖、清淤、设备基础的平整、夯实、混凝土浇筑、箱涵内设置的控制闸门由招标人负责。</w:t>
      </w:r>
    </w:p>
    <w:p w14:paraId="35717241">
      <w:pPr>
        <w:spacing w:line="360" w:lineRule="auto"/>
        <w:ind w:firstLine="480"/>
        <w:rPr>
          <w:rFonts w:ascii="宋体" w:hAnsi="宋体" w:cs="宋体"/>
          <w:sz w:val="24"/>
          <w:szCs w:val="28"/>
        </w:rPr>
      </w:pPr>
      <w:r>
        <w:rPr>
          <w:rFonts w:hint="eastAsia" w:ascii="宋体" w:hAnsi="宋体" w:eastAsia="宋体" w:cs="宋体"/>
          <w:sz w:val="24"/>
          <w:szCs w:val="28"/>
        </w:rPr>
        <w:t>3、工作目标：</w:t>
      </w:r>
      <w:r>
        <w:rPr>
          <w:rFonts w:hint="eastAsia" w:ascii="宋体" w:hAnsi="宋体" w:cs="宋体"/>
          <w:sz w:val="24"/>
          <w:szCs w:val="28"/>
        </w:rPr>
        <w:t>出水达到以下要求：</w:t>
      </w:r>
    </w:p>
    <w:p w14:paraId="4A27DF48">
      <w:pPr>
        <w:ind w:firstLine="480"/>
        <w:rPr>
          <w:rFonts w:ascii="宋体" w:hAnsi="宋体" w:eastAsia="宋体" w:cs="宋体"/>
          <w:sz w:val="24"/>
          <w:szCs w:val="28"/>
        </w:rPr>
      </w:pPr>
      <w:r>
        <w:rPr>
          <w:rFonts w:hint="eastAsia" w:ascii="宋体" w:hAnsi="宋体" w:eastAsia="宋体" w:cs="宋体"/>
          <w:sz w:val="24"/>
          <w:szCs w:val="28"/>
        </w:rPr>
        <w:t>一体化污水处理设施处理后的出水指标按以下部分执行，具体出水指标数据如下：</w:t>
      </w:r>
    </w:p>
    <w:p w14:paraId="23595D76">
      <w:pPr>
        <w:ind w:firstLine="480"/>
        <w:rPr>
          <w:rFonts w:ascii="宋体" w:hAnsi="宋体" w:eastAsia="宋体" w:cs="宋体"/>
          <w:sz w:val="24"/>
          <w:szCs w:val="28"/>
        </w:rPr>
      </w:pPr>
    </w:p>
    <w:p w14:paraId="21ED5A64">
      <w:pPr>
        <w:snapToGrid w:val="0"/>
        <w:jc w:val="center"/>
        <w:rPr>
          <w:rFonts w:ascii="宋体" w:hAnsi="宋体" w:eastAsia="宋体" w:cs="宋体"/>
          <w:sz w:val="24"/>
          <w:szCs w:val="28"/>
        </w:rPr>
      </w:pPr>
      <w:r>
        <w:rPr>
          <w:rFonts w:ascii="宋体" w:hAnsi="宋体" w:eastAsia="宋体" w:cs="宋体"/>
          <w:sz w:val="24"/>
          <w:szCs w:val="28"/>
        </w:rPr>
        <w:t>出水</w:t>
      </w:r>
      <w:r>
        <w:rPr>
          <w:rFonts w:hint="eastAsia" w:ascii="宋体" w:hAnsi="宋体" w:eastAsia="宋体" w:cs="宋体"/>
          <w:sz w:val="24"/>
          <w:szCs w:val="28"/>
        </w:rPr>
        <w:t>水质指标</w:t>
      </w:r>
    </w:p>
    <w:tbl>
      <w:tblPr>
        <w:tblStyle w:val="7"/>
        <w:tblW w:w="4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867"/>
        <w:gridCol w:w="1867"/>
        <w:gridCol w:w="1729"/>
        <w:gridCol w:w="1853"/>
      </w:tblGrid>
      <w:tr w14:paraId="7563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96" w:type="pct"/>
            <w:shd w:val="clear" w:color="000000" w:fill="DDEBF7"/>
            <w:vAlign w:val="center"/>
          </w:tcPr>
          <w:p w14:paraId="4032EAAA">
            <w:pPr>
              <w:tabs>
                <w:tab w:val="left" w:pos="5160"/>
              </w:tabs>
              <w:overflowPunct w:val="0"/>
              <w:topLinePunct/>
              <w:jc w:val="center"/>
              <w:rPr>
                <w:spacing w:val="2"/>
                <w:szCs w:val="21"/>
              </w:rPr>
            </w:pPr>
            <w:r>
              <w:rPr>
                <w:rFonts w:hint="eastAsia"/>
                <w:spacing w:val="2"/>
                <w:szCs w:val="21"/>
              </w:rPr>
              <w:t>项目</w:t>
            </w:r>
          </w:p>
        </w:tc>
        <w:tc>
          <w:tcPr>
            <w:tcW w:w="1072" w:type="pct"/>
            <w:shd w:val="clear" w:color="000000" w:fill="DDEBF7"/>
            <w:vAlign w:val="center"/>
          </w:tcPr>
          <w:p w14:paraId="1FA0EA13">
            <w:pPr>
              <w:tabs>
                <w:tab w:val="left" w:pos="5160"/>
              </w:tabs>
              <w:overflowPunct w:val="0"/>
              <w:topLinePunct/>
              <w:jc w:val="center"/>
              <w:rPr>
                <w:spacing w:val="2"/>
                <w:szCs w:val="21"/>
              </w:rPr>
            </w:pPr>
            <w:r>
              <w:rPr>
                <w:rFonts w:hint="eastAsia"/>
                <w:spacing w:val="2"/>
                <w:szCs w:val="21"/>
              </w:rPr>
              <w:t>CODcr</w:t>
            </w:r>
          </w:p>
          <w:p w14:paraId="0DAF5642">
            <w:pPr>
              <w:tabs>
                <w:tab w:val="left" w:pos="5160"/>
              </w:tabs>
              <w:overflowPunct w:val="0"/>
              <w:topLinePunct/>
              <w:jc w:val="center"/>
              <w:rPr>
                <w:spacing w:val="2"/>
                <w:szCs w:val="21"/>
              </w:rPr>
            </w:pPr>
            <w:r>
              <w:rPr>
                <w:rFonts w:hint="eastAsia"/>
                <w:spacing w:val="2"/>
                <w:szCs w:val="21"/>
              </w:rPr>
              <w:t>（mg/L）</w:t>
            </w:r>
          </w:p>
        </w:tc>
        <w:tc>
          <w:tcPr>
            <w:tcW w:w="1072" w:type="pct"/>
            <w:shd w:val="clear" w:color="000000" w:fill="DDEBF7"/>
            <w:vAlign w:val="center"/>
          </w:tcPr>
          <w:p w14:paraId="51C35D44">
            <w:pPr>
              <w:tabs>
                <w:tab w:val="left" w:pos="5160"/>
              </w:tabs>
              <w:overflowPunct w:val="0"/>
              <w:topLinePunct/>
              <w:jc w:val="center"/>
              <w:rPr>
                <w:spacing w:val="2"/>
                <w:szCs w:val="21"/>
              </w:rPr>
            </w:pPr>
            <w:r>
              <w:rPr>
                <w:rFonts w:hint="eastAsia"/>
                <w:spacing w:val="2"/>
                <w:szCs w:val="21"/>
              </w:rPr>
              <w:t>NH</w:t>
            </w:r>
            <w:r>
              <w:rPr>
                <w:rFonts w:hint="eastAsia"/>
                <w:spacing w:val="2"/>
                <w:szCs w:val="21"/>
                <w:vertAlign w:val="subscript"/>
              </w:rPr>
              <w:t>3</w:t>
            </w:r>
            <w:r>
              <w:rPr>
                <w:rFonts w:hint="eastAsia"/>
                <w:spacing w:val="2"/>
                <w:szCs w:val="21"/>
              </w:rPr>
              <w:t>-N</w:t>
            </w:r>
          </w:p>
          <w:p w14:paraId="682A725D">
            <w:pPr>
              <w:tabs>
                <w:tab w:val="left" w:pos="5160"/>
              </w:tabs>
              <w:overflowPunct w:val="0"/>
              <w:topLinePunct/>
              <w:jc w:val="center"/>
              <w:rPr>
                <w:spacing w:val="2"/>
                <w:szCs w:val="21"/>
              </w:rPr>
            </w:pPr>
            <w:r>
              <w:rPr>
                <w:rFonts w:hint="eastAsia"/>
                <w:spacing w:val="2"/>
                <w:szCs w:val="21"/>
              </w:rPr>
              <w:t>（mg/L）</w:t>
            </w:r>
          </w:p>
        </w:tc>
        <w:tc>
          <w:tcPr>
            <w:tcW w:w="993" w:type="pct"/>
            <w:shd w:val="clear" w:color="000000" w:fill="DDEBF7"/>
            <w:vAlign w:val="center"/>
          </w:tcPr>
          <w:p w14:paraId="25827258">
            <w:pPr>
              <w:tabs>
                <w:tab w:val="left" w:pos="5160"/>
              </w:tabs>
              <w:overflowPunct w:val="0"/>
              <w:topLinePunct/>
              <w:jc w:val="center"/>
              <w:rPr>
                <w:spacing w:val="2"/>
                <w:szCs w:val="21"/>
              </w:rPr>
            </w:pPr>
            <w:r>
              <w:rPr>
                <w:rFonts w:hint="eastAsia"/>
                <w:spacing w:val="2"/>
                <w:szCs w:val="21"/>
              </w:rPr>
              <w:t>TP</w:t>
            </w:r>
          </w:p>
          <w:p w14:paraId="39521B4D">
            <w:pPr>
              <w:tabs>
                <w:tab w:val="left" w:pos="5160"/>
              </w:tabs>
              <w:overflowPunct w:val="0"/>
              <w:topLinePunct/>
              <w:jc w:val="center"/>
              <w:rPr>
                <w:spacing w:val="2"/>
                <w:szCs w:val="21"/>
              </w:rPr>
            </w:pPr>
            <w:r>
              <w:rPr>
                <w:rFonts w:hint="eastAsia"/>
                <w:spacing w:val="2"/>
                <w:szCs w:val="21"/>
              </w:rPr>
              <w:t>（mg/L）</w:t>
            </w:r>
          </w:p>
        </w:tc>
        <w:tc>
          <w:tcPr>
            <w:tcW w:w="1064" w:type="pct"/>
            <w:shd w:val="clear" w:color="000000" w:fill="DDEBF7"/>
            <w:vAlign w:val="center"/>
          </w:tcPr>
          <w:p w14:paraId="487F284F">
            <w:pPr>
              <w:tabs>
                <w:tab w:val="left" w:pos="5160"/>
              </w:tabs>
              <w:overflowPunct w:val="0"/>
              <w:topLinePunct/>
              <w:jc w:val="center"/>
              <w:rPr>
                <w:spacing w:val="2"/>
                <w:szCs w:val="21"/>
              </w:rPr>
            </w:pPr>
            <w:r>
              <w:rPr>
                <w:rFonts w:hint="eastAsia"/>
                <w:spacing w:val="2"/>
                <w:szCs w:val="21"/>
              </w:rPr>
              <w:t>SS</w:t>
            </w:r>
          </w:p>
          <w:p w14:paraId="1E4BACB7">
            <w:pPr>
              <w:tabs>
                <w:tab w:val="left" w:pos="5160"/>
              </w:tabs>
              <w:overflowPunct w:val="0"/>
              <w:topLinePunct/>
              <w:jc w:val="center"/>
              <w:rPr>
                <w:spacing w:val="2"/>
                <w:szCs w:val="21"/>
              </w:rPr>
            </w:pPr>
            <w:r>
              <w:rPr>
                <w:rFonts w:hint="eastAsia"/>
                <w:spacing w:val="2"/>
                <w:szCs w:val="21"/>
              </w:rPr>
              <w:t>（mg/L）</w:t>
            </w:r>
          </w:p>
        </w:tc>
      </w:tr>
      <w:tr w14:paraId="2CEE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6" w:type="pct"/>
            <w:vAlign w:val="center"/>
          </w:tcPr>
          <w:p w14:paraId="67CEF318">
            <w:pPr>
              <w:tabs>
                <w:tab w:val="left" w:pos="5160"/>
              </w:tabs>
              <w:overflowPunct w:val="0"/>
              <w:topLinePunct/>
              <w:jc w:val="center"/>
              <w:rPr>
                <w:spacing w:val="2"/>
                <w:szCs w:val="21"/>
              </w:rPr>
            </w:pPr>
            <w:r>
              <w:rPr>
                <w:rFonts w:hint="eastAsia"/>
                <w:spacing w:val="2"/>
                <w:szCs w:val="21"/>
              </w:rPr>
              <w:t>进水</w:t>
            </w:r>
          </w:p>
        </w:tc>
        <w:tc>
          <w:tcPr>
            <w:tcW w:w="1072" w:type="pct"/>
            <w:vAlign w:val="center"/>
          </w:tcPr>
          <w:p w14:paraId="2175A84E">
            <w:pPr>
              <w:jc w:val="center"/>
              <w:rPr>
                <w:color w:val="000000" w:themeColor="text1"/>
                <w:spacing w:val="2"/>
                <w:szCs w:val="2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p>
        </w:tc>
        <w:tc>
          <w:tcPr>
            <w:tcW w:w="1072" w:type="pct"/>
            <w:vAlign w:val="center"/>
          </w:tcPr>
          <w:p w14:paraId="2A6FD738">
            <w:pPr>
              <w:jc w:val="center"/>
              <w:rPr>
                <w:color w:val="000000" w:themeColor="text1"/>
                <w:spacing w:val="2"/>
                <w:szCs w:val="21"/>
                <w14:textFill>
                  <w14:solidFill>
                    <w14:schemeClr w14:val="tx1"/>
                  </w14:solidFill>
                </w14:textFill>
              </w:rPr>
            </w:pPr>
            <w:r>
              <w:rPr>
                <w:rFonts w:hint="eastAsia"/>
                <w:color w:val="000000" w:themeColor="text1"/>
                <w14:textFill>
                  <w14:solidFill>
                    <w14:schemeClr w14:val="tx1"/>
                  </w14:solidFill>
                </w14:textFill>
              </w:rPr>
              <w:t>≤10</w:t>
            </w:r>
          </w:p>
        </w:tc>
        <w:tc>
          <w:tcPr>
            <w:tcW w:w="993" w:type="pct"/>
            <w:vAlign w:val="center"/>
          </w:tcPr>
          <w:p w14:paraId="0B62F0E6">
            <w:pPr>
              <w:jc w:val="center"/>
              <w:rPr>
                <w:color w:val="000000" w:themeColor="text1"/>
                <w:spacing w:val="2"/>
                <w:szCs w:val="21"/>
                <w14:textFill>
                  <w14:solidFill>
                    <w14:schemeClr w14:val="tx1"/>
                  </w14:solidFill>
                </w14:textFill>
              </w:rPr>
            </w:pPr>
            <w:r>
              <w:rPr>
                <w:rFonts w:hint="eastAsia"/>
                <w:color w:val="000000" w:themeColor="text1"/>
                <w14:textFill>
                  <w14:solidFill>
                    <w14:schemeClr w14:val="tx1"/>
                  </w14:solidFill>
                </w14:textFill>
              </w:rPr>
              <w:t>≤0.5</w:t>
            </w:r>
          </w:p>
        </w:tc>
        <w:tc>
          <w:tcPr>
            <w:tcW w:w="1064" w:type="pct"/>
            <w:vAlign w:val="center"/>
          </w:tcPr>
          <w:p w14:paraId="1329618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p>
        </w:tc>
      </w:tr>
      <w:tr w14:paraId="6BF3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6" w:type="pct"/>
            <w:vAlign w:val="center"/>
          </w:tcPr>
          <w:p w14:paraId="339EEF15">
            <w:pPr>
              <w:tabs>
                <w:tab w:val="left" w:pos="5160"/>
              </w:tabs>
              <w:overflowPunct w:val="0"/>
              <w:topLinePunct/>
              <w:jc w:val="center"/>
              <w:rPr>
                <w:spacing w:val="2"/>
                <w:szCs w:val="21"/>
              </w:rPr>
            </w:pPr>
            <w:r>
              <w:rPr>
                <w:rFonts w:hint="eastAsia"/>
                <w:spacing w:val="2"/>
                <w:szCs w:val="21"/>
              </w:rPr>
              <w:t>出水</w:t>
            </w:r>
          </w:p>
        </w:tc>
        <w:tc>
          <w:tcPr>
            <w:tcW w:w="1072" w:type="pct"/>
            <w:vAlign w:val="center"/>
          </w:tcPr>
          <w:p w14:paraId="33B575D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p>
        </w:tc>
        <w:tc>
          <w:tcPr>
            <w:tcW w:w="1072" w:type="pct"/>
            <w:vAlign w:val="center"/>
          </w:tcPr>
          <w:p w14:paraId="3F64321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993" w:type="pct"/>
            <w:vAlign w:val="center"/>
          </w:tcPr>
          <w:p w14:paraId="1963F79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p>
        </w:tc>
        <w:tc>
          <w:tcPr>
            <w:tcW w:w="1064" w:type="pct"/>
            <w:vAlign w:val="center"/>
          </w:tcPr>
          <w:p w14:paraId="749EE52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r>
    </w:tbl>
    <w:p w14:paraId="73A4E6FE">
      <w:pPr>
        <w:ind w:firstLine="880" w:firstLineChars="400"/>
        <w:rPr>
          <w:rFonts w:asciiTheme="minorEastAsia" w:hAnsiTheme="minorEastAsia" w:cstheme="minorEastAsia"/>
          <w:sz w:val="22"/>
        </w:rPr>
      </w:pPr>
      <w:r>
        <w:rPr>
          <w:rFonts w:hint="eastAsia" w:asciiTheme="minorEastAsia" w:hAnsiTheme="minorEastAsia" w:cstheme="minorEastAsia"/>
          <w:sz w:val="22"/>
        </w:rPr>
        <w:t>注：表中单项控制指标测定时候，以净化站进水、出水管道为取样位置。</w:t>
      </w:r>
    </w:p>
    <w:p w14:paraId="1B83ABD0">
      <w:pPr>
        <w:spacing w:line="360" w:lineRule="auto"/>
        <w:rPr>
          <w:rFonts w:ascii="宋体" w:hAnsi="宋体" w:cs="宋体"/>
          <w:b/>
          <w:sz w:val="24"/>
        </w:rPr>
        <w:sectPr>
          <w:pgSz w:w="11906" w:h="16838"/>
          <w:pgMar w:top="1440" w:right="567" w:bottom="1440" w:left="850" w:header="851" w:footer="992" w:gutter="0"/>
          <w:cols w:space="0" w:num="1"/>
          <w:docGrid w:linePitch="360" w:charSpace="0"/>
        </w:sectPr>
      </w:pPr>
    </w:p>
    <w:p w14:paraId="491C3288">
      <w:pPr>
        <w:spacing w:line="360" w:lineRule="auto"/>
        <w:rPr>
          <w:rFonts w:ascii="宋体" w:hAnsi="宋体" w:eastAsia="宋体" w:cs="宋体"/>
          <w:b/>
          <w:sz w:val="24"/>
          <w:lang w:bidi="ar"/>
        </w:rPr>
      </w:pPr>
      <w:r>
        <w:rPr>
          <w:rFonts w:hint="eastAsia" w:ascii="宋体" w:hAnsi="宋体" w:eastAsia="宋体" w:cs="宋体"/>
          <w:b/>
          <w:sz w:val="24"/>
          <w:lang w:bidi="ar"/>
        </w:rPr>
        <w:t>三、参考技术路线</w:t>
      </w:r>
    </w:p>
    <w:p w14:paraId="0CE35CDE">
      <w:pPr>
        <w:spacing w:line="360" w:lineRule="auto"/>
        <w:ind w:firstLine="602"/>
        <w:rPr>
          <w:rFonts w:ascii="宋体" w:hAnsi="宋体" w:eastAsia="宋体" w:cs="宋体"/>
          <w:sz w:val="24"/>
          <w:szCs w:val="24"/>
        </w:rPr>
      </w:pPr>
      <w:r>
        <w:rPr>
          <w:rFonts w:hint="eastAsia" w:ascii="宋体" w:hAnsi="宋体" w:eastAsia="宋体" w:cs="宋体"/>
          <w:sz w:val="24"/>
          <w:szCs w:val="24"/>
        </w:rPr>
        <w:t>1、工艺流程</w:t>
      </w:r>
    </w:p>
    <w:p w14:paraId="4CF8C5D0">
      <w:pPr>
        <w:spacing w:line="360" w:lineRule="auto"/>
        <w:ind w:firstLine="602"/>
        <w:rPr>
          <w:rFonts w:ascii="宋体" w:hAnsi="宋体" w:eastAsia="宋体" w:cs="宋体"/>
          <w:sz w:val="24"/>
          <w:szCs w:val="24"/>
        </w:rPr>
      </w:pPr>
      <w:r>
        <w:rPr>
          <w:rFonts w:hint="eastAsia" w:ascii="宋体" w:hAnsi="宋体" w:eastAsia="宋体" w:cs="宋体"/>
          <w:sz w:val="24"/>
          <w:szCs w:val="24"/>
        </w:rPr>
        <w:t>针对本项目特点，要求消减河道下游的COD、NH3-N、TP及SS，因此在河道合适位置选址建设净化处理站，采取体外治理的形式，净化后的河水回流下游河道。根据本项目排放要求，可采用生物处理+强化混凝沉淀工艺进行净化处理，其中生物处理采用靶控自循环生物净化装置（简称TCCB装置），强化混凝沉淀采用卧式高效速净装置（简称RAP-H装置），工艺流程如下图所示。</w:t>
      </w:r>
    </w:p>
    <w:p w14:paraId="5A0304F5">
      <w:pPr>
        <w:spacing w:line="360" w:lineRule="auto"/>
        <w:ind w:firstLine="602"/>
        <w:rPr>
          <w:rFonts w:ascii="宋体" w:hAnsi="宋体" w:eastAsia="宋体" w:cs="宋体"/>
          <w:sz w:val="24"/>
          <w:szCs w:val="24"/>
        </w:rPr>
      </w:pPr>
      <w:r>
        <w:rPr>
          <w:rFonts w:ascii="宋体" w:hAnsi="宋体" w:eastAsia="宋体" w:cs="宋体"/>
          <w:sz w:val="24"/>
          <w:szCs w:val="24"/>
        </w:rPr>
        <w:t xml:space="preserve"> </w:t>
      </w:r>
      <w:r>
        <w:drawing>
          <wp:inline distT="0" distB="0" distL="0" distR="0">
            <wp:extent cx="5105400" cy="18522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153872" cy="1870098"/>
                    </a:xfrm>
                    <a:prstGeom prst="rect">
                      <a:avLst/>
                    </a:prstGeom>
                  </pic:spPr>
                </pic:pic>
              </a:graphicData>
            </a:graphic>
          </wp:inline>
        </w:drawing>
      </w:r>
    </w:p>
    <w:p w14:paraId="59C0C737">
      <w:pPr>
        <w:spacing w:line="360" w:lineRule="auto"/>
        <w:ind w:firstLine="602"/>
        <w:jc w:val="center"/>
        <w:rPr>
          <w:rFonts w:ascii="宋体" w:hAnsi="宋体" w:eastAsia="宋体" w:cs="宋体"/>
          <w:sz w:val="24"/>
          <w:szCs w:val="24"/>
        </w:rPr>
      </w:pPr>
      <w:r>
        <w:rPr>
          <w:rFonts w:hint="eastAsia" w:ascii="宋体" w:hAnsi="宋体" w:eastAsia="宋体" w:cs="宋体"/>
          <w:sz w:val="24"/>
          <w:szCs w:val="24"/>
        </w:rPr>
        <w:t>图1 污水净化工艺流程示意图</w:t>
      </w:r>
    </w:p>
    <w:p w14:paraId="3DB35E3E">
      <w:pPr>
        <w:spacing w:line="360" w:lineRule="auto"/>
        <w:ind w:firstLine="602"/>
        <w:rPr>
          <w:rFonts w:ascii="宋体" w:hAnsi="宋体" w:eastAsia="宋体" w:cs="宋体"/>
          <w:sz w:val="24"/>
          <w:szCs w:val="24"/>
        </w:rPr>
      </w:pPr>
      <w:r>
        <w:rPr>
          <w:rFonts w:hint="eastAsia" w:ascii="宋体" w:hAnsi="宋体" w:eastAsia="宋体" w:cs="宋体"/>
          <w:sz w:val="24"/>
          <w:szCs w:val="24"/>
        </w:rPr>
        <w:t>根据河道排水口的位置，上游设1#栏水坝，1#拦水坝下游设2#拦水坝，1#栏水坝上游河水、1#与2#拦水坝之间的河水分别通过进水泵送至TCCB装置，在鼓风机的作用下，利用好氧颗粒污泥净化去除大部分的COD、NH3-N以及部分TP和SS等。TCCB装置出水自流进入RAP-H装置，在此进一步去除TP、SS等，出水排入坝后河道。净化过程中产生的污泥就近排至市政排水管道中。</w:t>
      </w:r>
    </w:p>
    <w:p w14:paraId="6878D8BE">
      <w:pPr>
        <w:spacing w:line="360" w:lineRule="auto"/>
        <w:ind w:firstLine="602"/>
        <w:rPr>
          <w:rFonts w:ascii="宋体" w:hAnsi="宋体" w:eastAsia="宋体" w:cs="宋体"/>
          <w:sz w:val="24"/>
          <w:szCs w:val="24"/>
        </w:rPr>
      </w:pPr>
    </w:p>
    <w:p w14:paraId="00047794">
      <w:pPr>
        <w:spacing w:line="360" w:lineRule="auto"/>
        <w:ind w:firstLine="602"/>
        <w:rPr>
          <w:rFonts w:ascii="宋体" w:hAnsi="宋体" w:eastAsia="宋体" w:cs="宋体"/>
          <w:sz w:val="24"/>
          <w:szCs w:val="24"/>
        </w:rPr>
      </w:pPr>
      <w:bookmarkStart w:id="0" w:name="OLE_LINK34"/>
      <w:bookmarkStart w:id="1" w:name="OLE_LINK35"/>
      <w:r>
        <w:rPr>
          <w:rFonts w:hint="eastAsia" w:ascii="宋体" w:hAnsi="宋体" w:eastAsia="宋体" w:cs="宋体"/>
          <w:sz w:val="24"/>
          <w:szCs w:val="24"/>
        </w:rPr>
        <w:t>2、设备描述和说明</w:t>
      </w:r>
    </w:p>
    <w:bookmarkEnd w:id="0"/>
    <w:bookmarkEnd w:id="1"/>
    <w:p w14:paraId="1E4079B0">
      <w:pPr>
        <w:pStyle w:val="9"/>
        <w:numPr>
          <w:ilvl w:val="0"/>
          <w:numId w:val="1"/>
        </w:numPr>
        <w:spacing w:line="360" w:lineRule="auto"/>
        <w:rPr>
          <w:rFonts w:ascii="宋体" w:hAnsi="宋体" w:cs="宋体"/>
          <w:sz w:val="24"/>
          <w:szCs w:val="24"/>
        </w:rPr>
      </w:pPr>
      <w:r>
        <w:rPr>
          <w:rFonts w:ascii="宋体" w:hAnsi="宋体" w:cs="宋体"/>
          <w:sz w:val="24"/>
          <w:szCs w:val="24"/>
        </w:rPr>
        <w:t>TCCB</w:t>
      </w:r>
      <w:r>
        <w:rPr>
          <w:rFonts w:hint="eastAsia" w:ascii="宋体" w:hAnsi="宋体" w:cs="宋体"/>
          <w:sz w:val="24"/>
          <w:szCs w:val="24"/>
        </w:rPr>
        <w:t>装置</w:t>
      </w:r>
    </w:p>
    <w:p w14:paraId="6C41F0F5">
      <w:pPr>
        <w:spacing w:line="360" w:lineRule="auto"/>
        <w:ind w:firstLine="602"/>
        <w:rPr>
          <w:rFonts w:ascii="宋体" w:hAnsi="宋体" w:eastAsia="宋体" w:cs="宋体"/>
          <w:sz w:val="24"/>
          <w:szCs w:val="24"/>
        </w:rPr>
      </w:pPr>
      <w:r>
        <w:rPr>
          <w:rFonts w:hint="eastAsia" w:ascii="宋体" w:hAnsi="宋体" w:eastAsia="宋体" w:cs="宋体"/>
          <w:sz w:val="24"/>
          <w:szCs w:val="24"/>
        </w:rPr>
        <w:t>TCCB装置（靶控自循环生物净化装置）是一种连续流好氧颗粒污泥生物强化处理装置，集有机物降解、脱氮除磷、泥水分离功能于一体。主体设备采用一体化形式，整体直接出厂，吊装就位、直接安装使用。</w:t>
      </w:r>
    </w:p>
    <w:p w14:paraId="5489147B">
      <w:pPr>
        <w:spacing w:line="360" w:lineRule="auto"/>
        <w:ind w:firstLine="602"/>
        <w:rPr>
          <w:rFonts w:ascii="宋体" w:hAnsi="宋体" w:eastAsia="宋体" w:cs="宋体"/>
          <w:sz w:val="24"/>
          <w:szCs w:val="24"/>
        </w:rPr>
      </w:pPr>
      <w:r>
        <w:rPr>
          <w:rFonts w:hint="eastAsia" w:ascii="宋体" w:hAnsi="宋体" w:eastAsia="宋体" w:cs="宋体"/>
          <w:sz w:val="24"/>
          <w:szCs w:val="24"/>
        </w:rPr>
        <w:t>TCCB装置技术优势：</w:t>
      </w:r>
    </w:p>
    <w:p w14:paraId="783E60DB">
      <w:pPr>
        <w:spacing w:line="360" w:lineRule="auto"/>
        <w:ind w:firstLine="602"/>
        <w:rPr>
          <w:rFonts w:ascii="宋体" w:hAnsi="宋体" w:eastAsia="宋体" w:cs="宋体"/>
          <w:sz w:val="24"/>
          <w:szCs w:val="24"/>
        </w:rPr>
      </w:pPr>
      <w:r>
        <w:rPr>
          <w:rFonts w:hint="eastAsia" w:ascii="宋体" w:hAnsi="宋体" w:eastAsia="宋体" w:cs="宋体"/>
          <w:sz w:val="24"/>
          <w:szCs w:val="24"/>
        </w:rPr>
        <w:t>（1） 污染物去除率明显提高，依托好氧颗粒污泥加密技术，提高微生物总量、增加种群种类，明显提高对水中有机物、氨氮、TP等去除率。</w:t>
      </w:r>
    </w:p>
    <w:p w14:paraId="130AA907">
      <w:pPr>
        <w:spacing w:line="360" w:lineRule="auto"/>
        <w:ind w:firstLine="602"/>
        <w:rPr>
          <w:rFonts w:ascii="宋体" w:hAnsi="宋体" w:eastAsia="宋体" w:cs="宋体"/>
          <w:sz w:val="24"/>
          <w:szCs w:val="24"/>
        </w:rPr>
      </w:pPr>
      <w:r>
        <w:rPr>
          <w:rFonts w:hint="eastAsia" w:ascii="宋体" w:hAnsi="宋体" w:eastAsia="宋体" w:cs="宋体"/>
          <w:sz w:val="24"/>
          <w:szCs w:val="24"/>
        </w:rPr>
        <w:t>（2） 工艺适应性更强，可承受水量、水质在较大范围内波动的冲击负荷，可去除COD、氨氮、TP等污染物质，同时对高浓度有毒废水具有独特的适应性和处理能力。</w:t>
      </w:r>
    </w:p>
    <w:p w14:paraId="22567B49">
      <w:pPr>
        <w:spacing w:line="360" w:lineRule="auto"/>
        <w:ind w:firstLine="602"/>
        <w:rPr>
          <w:rFonts w:ascii="宋体" w:hAnsi="宋体" w:eastAsia="宋体" w:cs="宋体"/>
          <w:sz w:val="24"/>
          <w:szCs w:val="24"/>
        </w:rPr>
      </w:pPr>
      <w:r>
        <w:rPr>
          <w:rFonts w:hint="eastAsia" w:ascii="宋体" w:hAnsi="宋体" w:eastAsia="宋体" w:cs="宋体"/>
          <w:sz w:val="24"/>
          <w:szCs w:val="24"/>
        </w:rPr>
        <w:t>（3） 施工过程简单，新增设施均为一体化设备，可工厂加工，运输到场吊装就位即可；土建工程无复杂构筑物、仅需设备基础，安装工程简单，建设工期相较于其他工艺缩短20-40%。</w:t>
      </w:r>
    </w:p>
    <w:p w14:paraId="176293B2">
      <w:pPr>
        <w:spacing w:line="360" w:lineRule="auto"/>
        <w:ind w:firstLine="602"/>
        <w:rPr>
          <w:rFonts w:ascii="宋体" w:hAnsi="宋体" w:eastAsia="宋体" w:cs="宋体"/>
          <w:sz w:val="24"/>
          <w:szCs w:val="24"/>
        </w:rPr>
      </w:pPr>
      <w:r>
        <w:rPr>
          <w:rFonts w:hint="eastAsia" w:ascii="宋体" w:hAnsi="宋体" w:eastAsia="宋体" w:cs="宋体"/>
          <w:sz w:val="24"/>
          <w:szCs w:val="24"/>
        </w:rPr>
        <w:t>（4） 设施处理负荷高，占地面积小，且无需投加其他生物载体。</w:t>
      </w:r>
    </w:p>
    <w:p w14:paraId="32862171">
      <w:pPr>
        <w:spacing w:line="360" w:lineRule="auto"/>
        <w:ind w:firstLine="602"/>
        <w:rPr>
          <w:rFonts w:ascii="宋体" w:hAnsi="宋体" w:eastAsia="宋体" w:cs="宋体"/>
          <w:sz w:val="24"/>
          <w:szCs w:val="24"/>
        </w:rPr>
      </w:pPr>
      <w:r>
        <w:rPr>
          <w:rFonts w:hint="eastAsia" w:ascii="宋体" w:hAnsi="宋体" w:eastAsia="宋体" w:cs="宋体"/>
          <w:sz w:val="24"/>
          <w:szCs w:val="24"/>
        </w:rPr>
        <w:t>（5） 节能降碳，绿色发展。系统充分发挥良好的流态优势实现同步硝化反硝化，可缩减碳源补充量，同时可使系统需氧量降低，进一步优化污泥和硝化液的回流比，总体运行费用降低20%~40%，实现节能降耗的目的。</w:t>
      </w:r>
    </w:p>
    <w:p w14:paraId="3E86846A">
      <w:pPr>
        <w:spacing w:line="360" w:lineRule="auto"/>
        <w:ind w:firstLine="602"/>
        <w:rPr>
          <w:rFonts w:ascii="宋体" w:hAnsi="宋体" w:eastAsia="宋体" w:cs="宋体"/>
          <w:sz w:val="24"/>
          <w:szCs w:val="24"/>
        </w:rPr>
      </w:pPr>
      <w:r>
        <w:rPr>
          <w:rFonts w:hint="eastAsia" w:ascii="宋体" w:hAnsi="宋体" w:eastAsia="宋体" w:cs="宋体"/>
          <w:sz w:val="24"/>
          <w:szCs w:val="24"/>
        </w:rPr>
        <w:t>（6） 系统的产泥量少且污泥沉降性能好，节省用地空间，同时可降低污泥脱水处理规模及脱水效果，降低设施电耗。</w:t>
      </w:r>
    </w:p>
    <w:p w14:paraId="5AA232E8">
      <w:pPr>
        <w:pStyle w:val="9"/>
        <w:numPr>
          <w:ilvl w:val="0"/>
          <w:numId w:val="1"/>
        </w:numPr>
        <w:spacing w:line="360" w:lineRule="auto"/>
        <w:rPr>
          <w:rFonts w:ascii="宋体" w:hAnsi="宋体" w:cs="宋体"/>
          <w:sz w:val="24"/>
          <w:szCs w:val="24"/>
        </w:rPr>
      </w:pPr>
      <w:r>
        <w:rPr>
          <w:rFonts w:ascii="宋体" w:hAnsi="宋体" w:cs="宋体"/>
          <w:sz w:val="24"/>
          <w:szCs w:val="24"/>
        </w:rPr>
        <w:t>RAP-H</w:t>
      </w:r>
      <w:r>
        <w:rPr>
          <w:rFonts w:hint="eastAsia" w:ascii="宋体" w:hAnsi="宋体" w:cs="宋体"/>
          <w:sz w:val="24"/>
          <w:szCs w:val="24"/>
        </w:rPr>
        <w:t>装置</w:t>
      </w:r>
    </w:p>
    <w:p w14:paraId="77AB7448">
      <w:pPr>
        <w:spacing w:line="360" w:lineRule="auto"/>
        <w:ind w:firstLine="602"/>
        <w:rPr>
          <w:rFonts w:ascii="宋体" w:hAnsi="宋体" w:eastAsia="宋体" w:cs="宋体"/>
          <w:sz w:val="24"/>
          <w:szCs w:val="24"/>
        </w:rPr>
      </w:pPr>
      <w:r>
        <w:rPr>
          <w:rFonts w:hint="eastAsia" w:ascii="宋体" w:hAnsi="宋体" w:eastAsia="宋体" w:cs="宋体"/>
          <w:sz w:val="24"/>
          <w:szCs w:val="24"/>
        </w:rPr>
        <w:t>RAP-H装置（卧式快速净化装置）是依托悬浮污泥滤沉技术开发的高效一体化净水设备，该装置集成了水力循环反应、螺旋流预分离、多级自回流、自循环加密、迷宫式加密、悬浮泥层滤捕、静态回收分离、竖向循环导流等多项技术，可用于水处理项目的预处理、强化处理、深度处理等工段，起到前端减负保安、强化总量消减、深度提质达标等作用，尤其适合低浊度水的净化处理。</w:t>
      </w:r>
    </w:p>
    <w:p w14:paraId="758F1FCD">
      <w:pPr>
        <w:spacing w:line="360" w:lineRule="auto"/>
        <w:ind w:firstLine="602"/>
        <w:rPr>
          <w:rFonts w:ascii="宋体" w:hAnsi="宋体" w:eastAsia="宋体" w:cs="宋体"/>
          <w:sz w:val="24"/>
          <w:szCs w:val="24"/>
        </w:rPr>
      </w:pPr>
      <w:r>
        <w:rPr>
          <w:rFonts w:hint="eastAsia" w:ascii="宋体" w:hAnsi="宋体" w:eastAsia="宋体" w:cs="宋体"/>
          <w:sz w:val="24"/>
          <w:szCs w:val="24"/>
        </w:rPr>
        <w:t>装置可快速去除水体中的SS、TP、COD、重金属等污染物。</w:t>
      </w:r>
    </w:p>
    <w:p w14:paraId="295AE79F">
      <w:pPr>
        <w:spacing w:line="360" w:lineRule="auto"/>
        <w:ind w:firstLine="602"/>
        <w:rPr>
          <w:rFonts w:ascii="宋体" w:hAnsi="宋体" w:eastAsia="宋体" w:cs="宋体"/>
          <w:sz w:val="24"/>
          <w:szCs w:val="24"/>
        </w:rPr>
      </w:pPr>
      <w:r>
        <w:rPr>
          <w:rFonts w:hint="eastAsia" w:ascii="宋体" w:hAnsi="宋体" w:eastAsia="宋体" w:cs="宋体"/>
          <w:sz w:val="24"/>
          <w:szCs w:val="24"/>
        </w:rPr>
        <w:t>装置由主体设备及配套加药装置和智能控制系统组成，主体设备整体出厂及运输、土建基础简单、占地面积小、建设工期短，系统启动快、运行效果稳定，智慧控制、云端操作，可广泛用于市政与工业水处理、水环境治理等项目。</w:t>
      </w:r>
    </w:p>
    <w:p w14:paraId="6F753CBC">
      <w:pPr>
        <w:spacing w:line="360" w:lineRule="auto"/>
        <w:ind w:firstLine="602"/>
        <w:rPr>
          <w:rFonts w:ascii="宋体" w:hAnsi="宋体" w:eastAsia="宋体" w:cs="宋体"/>
          <w:sz w:val="24"/>
          <w:szCs w:val="24"/>
        </w:rPr>
      </w:pPr>
      <w:r>
        <w:rPr>
          <w:rFonts w:hint="eastAsia" w:ascii="宋体" w:hAnsi="宋体" w:eastAsia="宋体" w:cs="宋体"/>
          <w:sz w:val="24"/>
          <w:szCs w:val="24"/>
        </w:rPr>
        <w:t>RAP-H装置技术优势：</w:t>
      </w:r>
    </w:p>
    <w:p w14:paraId="6D9FEC95">
      <w:pPr>
        <w:spacing w:line="360" w:lineRule="auto"/>
        <w:ind w:firstLine="602"/>
        <w:rPr>
          <w:rFonts w:ascii="宋体" w:hAnsi="宋体" w:eastAsia="宋体" w:cs="宋体"/>
          <w:sz w:val="24"/>
          <w:szCs w:val="24"/>
        </w:rPr>
      </w:pPr>
      <w:r>
        <w:rPr>
          <w:rFonts w:hint="eastAsia" w:ascii="宋体" w:hAnsi="宋体" w:eastAsia="宋体" w:cs="宋体"/>
          <w:sz w:val="24"/>
          <w:szCs w:val="24"/>
        </w:rPr>
        <w:t>（1） 标准化设备灵活组合，适应不同处理规模及用地空间需求；</w:t>
      </w:r>
    </w:p>
    <w:p w14:paraId="3DB25550">
      <w:pPr>
        <w:spacing w:line="360" w:lineRule="auto"/>
        <w:ind w:firstLine="602"/>
        <w:rPr>
          <w:rFonts w:ascii="宋体" w:hAnsi="宋体" w:eastAsia="宋体" w:cs="宋体"/>
          <w:sz w:val="24"/>
          <w:szCs w:val="24"/>
        </w:rPr>
      </w:pPr>
      <w:r>
        <w:rPr>
          <w:rFonts w:hint="eastAsia" w:ascii="宋体" w:hAnsi="宋体" w:eastAsia="宋体" w:cs="宋体"/>
          <w:sz w:val="24"/>
          <w:szCs w:val="24"/>
        </w:rPr>
        <w:t>（2） 内部反应为水力循环反应过程，无搅拌、溶气等机械设备；</w:t>
      </w:r>
    </w:p>
    <w:p w14:paraId="020C69CE">
      <w:pPr>
        <w:spacing w:line="360" w:lineRule="auto"/>
        <w:ind w:firstLine="602"/>
        <w:rPr>
          <w:rFonts w:ascii="宋体" w:hAnsi="宋体" w:eastAsia="宋体" w:cs="宋体"/>
          <w:sz w:val="24"/>
          <w:szCs w:val="24"/>
        </w:rPr>
      </w:pPr>
      <w:r>
        <w:rPr>
          <w:rFonts w:hint="eastAsia" w:ascii="宋体" w:hAnsi="宋体" w:eastAsia="宋体" w:cs="宋体"/>
          <w:sz w:val="24"/>
          <w:szCs w:val="24"/>
        </w:rPr>
        <w:t>（3） 设备为密闭形式，无运行噪音、无异味，阻力损失≤0.03MPa；</w:t>
      </w:r>
    </w:p>
    <w:p w14:paraId="173215CC">
      <w:pPr>
        <w:spacing w:line="360" w:lineRule="auto"/>
        <w:ind w:firstLine="602"/>
        <w:rPr>
          <w:rFonts w:ascii="宋体" w:hAnsi="宋体" w:eastAsia="宋体" w:cs="宋体"/>
          <w:sz w:val="24"/>
          <w:szCs w:val="24"/>
        </w:rPr>
      </w:pPr>
      <w:r>
        <w:rPr>
          <w:rFonts w:hint="eastAsia" w:ascii="宋体" w:hAnsi="宋体" w:eastAsia="宋体" w:cs="宋体"/>
          <w:sz w:val="24"/>
          <w:szCs w:val="24"/>
        </w:rPr>
        <w:t>（4） 设施运行过程仅投加PAC、PAM等市政自来水工程中投加的药剂，不采用投加磁粉、钙、铁离子等其他药剂的工艺，避免对出水受纳水体的二次污染。</w:t>
      </w:r>
    </w:p>
    <w:p w14:paraId="5E422BC2">
      <w:pPr>
        <w:spacing w:line="360" w:lineRule="auto"/>
        <w:ind w:firstLine="602"/>
        <w:rPr>
          <w:rFonts w:ascii="宋体" w:hAnsi="宋体" w:eastAsia="宋体" w:cs="宋体"/>
          <w:sz w:val="24"/>
          <w:szCs w:val="24"/>
        </w:rPr>
      </w:pPr>
      <w:r>
        <w:rPr>
          <w:rFonts w:hint="eastAsia" w:ascii="宋体" w:hAnsi="宋体" w:eastAsia="宋体" w:cs="宋体"/>
          <w:sz w:val="24"/>
          <w:szCs w:val="24"/>
        </w:rPr>
        <w:t>（5） 水力停留时间≤20min。</w:t>
      </w:r>
    </w:p>
    <w:p w14:paraId="6FB420F1">
      <w:pPr>
        <w:spacing w:line="360" w:lineRule="auto"/>
        <w:rPr>
          <w:rFonts w:ascii="宋体" w:hAnsi="宋体" w:cs="宋体"/>
          <w:b/>
          <w:sz w:val="24"/>
        </w:rPr>
      </w:pPr>
    </w:p>
    <w:p w14:paraId="4DE0246C">
      <w:pPr>
        <w:spacing w:line="360" w:lineRule="auto"/>
        <w:ind w:firstLine="602"/>
        <w:rPr>
          <w:rFonts w:ascii="宋体" w:hAnsi="宋体" w:eastAsia="宋体" w:cs="宋体"/>
          <w:sz w:val="24"/>
          <w:szCs w:val="24"/>
        </w:rPr>
      </w:pPr>
      <w:r>
        <w:rPr>
          <w:rFonts w:hint="eastAsia" w:ascii="宋体" w:hAnsi="宋体" w:eastAsia="宋体" w:cs="宋体"/>
          <w:sz w:val="24"/>
          <w:szCs w:val="24"/>
        </w:rPr>
        <w:t>3、设备清单</w:t>
      </w:r>
    </w:p>
    <w:tbl>
      <w:tblPr>
        <w:tblStyle w:val="7"/>
        <w:tblW w:w="5000" w:type="pct"/>
        <w:jc w:val="center"/>
        <w:tblLayout w:type="autofit"/>
        <w:tblCellMar>
          <w:top w:w="0" w:type="dxa"/>
          <w:left w:w="108" w:type="dxa"/>
          <w:bottom w:w="0" w:type="dxa"/>
          <w:right w:w="108" w:type="dxa"/>
        </w:tblCellMar>
      </w:tblPr>
      <w:tblGrid>
        <w:gridCol w:w="911"/>
        <w:gridCol w:w="1853"/>
        <w:gridCol w:w="4521"/>
        <w:gridCol w:w="909"/>
        <w:gridCol w:w="994"/>
        <w:gridCol w:w="1234"/>
      </w:tblGrid>
      <w:tr w14:paraId="1B6A8289">
        <w:tblPrEx>
          <w:tblCellMar>
            <w:top w:w="0" w:type="dxa"/>
            <w:left w:w="108" w:type="dxa"/>
            <w:bottom w:w="0" w:type="dxa"/>
            <w:right w:w="108" w:type="dxa"/>
          </w:tblCellMar>
        </w:tblPrEx>
        <w:trPr>
          <w:tblHeade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3A54884E">
            <w:pPr>
              <w:pStyle w:val="3"/>
              <w:jc w:val="center"/>
            </w:pPr>
            <w:bookmarkStart w:id="2" w:name="RANGE!A28:G54"/>
            <w:r>
              <w:t>序号</w:t>
            </w:r>
            <w:r>
              <w:br w:type="textWrapping"/>
            </w:r>
            <w:r>
              <w:t>SN.</w:t>
            </w:r>
            <w:bookmarkEnd w:id="2"/>
          </w:p>
        </w:tc>
        <w:tc>
          <w:tcPr>
            <w:tcW w:w="889" w:type="pct"/>
            <w:tcBorders>
              <w:top w:val="single" w:color="auto" w:sz="4" w:space="0"/>
              <w:left w:val="nil"/>
              <w:bottom w:val="single" w:color="auto" w:sz="4" w:space="0"/>
              <w:right w:val="single" w:color="auto" w:sz="4" w:space="0"/>
            </w:tcBorders>
            <w:shd w:val="clear" w:color="auto" w:fill="auto"/>
            <w:vAlign w:val="center"/>
          </w:tcPr>
          <w:p w14:paraId="74293FC1">
            <w:pPr>
              <w:pStyle w:val="3"/>
              <w:jc w:val="center"/>
              <w:rPr>
                <w:color w:val="000000"/>
              </w:rPr>
            </w:pPr>
            <w:r>
              <w:rPr>
                <w:color w:val="000000"/>
              </w:rPr>
              <w:t>名称</w:t>
            </w:r>
            <w:r>
              <w:rPr>
                <w:color w:val="000000"/>
              </w:rPr>
              <w:br w:type="textWrapping"/>
            </w:r>
            <w:r>
              <w:rPr>
                <w:color w:val="000000"/>
              </w:rPr>
              <w:t>Item</w:t>
            </w:r>
          </w:p>
        </w:tc>
        <w:tc>
          <w:tcPr>
            <w:tcW w:w="2169" w:type="pct"/>
            <w:tcBorders>
              <w:top w:val="single" w:color="auto" w:sz="4" w:space="0"/>
              <w:left w:val="nil"/>
              <w:bottom w:val="single" w:color="auto" w:sz="4" w:space="0"/>
              <w:right w:val="single" w:color="auto" w:sz="4" w:space="0"/>
            </w:tcBorders>
            <w:shd w:val="clear" w:color="auto" w:fill="auto"/>
            <w:noWrap/>
            <w:vAlign w:val="center"/>
          </w:tcPr>
          <w:p w14:paraId="10E46ED2">
            <w:pPr>
              <w:pStyle w:val="3"/>
              <w:jc w:val="center"/>
            </w:pPr>
            <w:r>
              <w:rPr>
                <w:color w:val="000000"/>
              </w:rPr>
              <w:t>技术参数</w:t>
            </w:r>
            <w:r>
              <w:rPr>
                <w:color w:val="000000"/>
              </w:rPr>
              <w:br w:type="textWrapping"/>
            </w:r>
            <w:r>
              <w:rPr>
                <w:color w:val="000000"/>
              </w:rPr>
              <w:t>Technical data</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0DF8F00">
            <w:pPr>
              <w:pStyle w:val="3"/>
              <w:jc w:val="center"/>
              <w:rPr>
                <w:color w:val="000000"/>
              </w:rPr>
            </w:pPr>
            <w:r>
              <w:rPr>
                <w:color w:val="000000"/>
              </w:rPr>
              <w:t>单位</w:t>
            </w:r>
            <w:r>
              <w:rPr>
                <w:color w:val="000000"/>
              </w:rPr>
              <w:br w:type="textWrapping"/>
            </w:r>
            <w:r>
              <w:rPr>
                <w:color w:val="000000"/>
              </w:rPr>
              <w:t>Unit</w:t>
            </w:r>
          </w:p>
        </w:tc>
        <w:tc>
          <w:tcPr>
            <w:tcW w:w="477" w:type="pct"/>
            <w:tcBorders>
              <w:top w:val="single" w:color="auto" w:sz="4" w:space="0"/>
              <w:left w:val="nil"/>
              <w:bottom w:val="single" w:color="auto" w:sz="4" w:space="0"/>
              <w:right w:val="single" w:color="auto" w:sz="4" w:space="0"/>
            </w:tcBorders>
            <w:shd w:val="clear" w:color="auto" w:fill="auto"/>
            <w:vAlign w:val="center"/>
          </w:tcPr>
          <w:p w14:paraId="4FCF8250">
            <w:pPr>
              <w:pStyle w:val="3"/>
              <w:jc w:val="center"/>
              <w:rPr>
                <w:color w:val="000000"/>
              </w:rPr>
            </w:pPr>
            <w:r>
              <w:rPr>
                <w:color w:val="000000"/>
              </w:rPr>
              <w:t>数量</w:t>
            </w:r>
            <w:r>
              <w:rPr>
                <w:color w:val="000000"/>
              </w:rPr>
              <w:br w:type="textWrapping"/>
            </w:r>
            <w:r>
              <w:rPr>
                <w:color w:val="000000"/>
              </w:rPr>
              <w:t>Q'ty</w:t>
            </w:r>
          </w:p>
        </w:tc>
        <w:tc>
          <w:tcPr>
            <w:tcW w:w="592" w:type="pct"/>
            <w:tcBorders>
              <w:top w:val="single" w:color="auto" w:sz="4" w:space="0"/>
              <w:left w:val="nil"/>
              <w:bottom w:val="single" w:color="auto" w:sz="4" w:space="0"/>
              <w:right w:val="single" w:color="auto" w:sz="4" w:space="0"/>
            </w:tcBorders>
            <w:shd w:val="clear" w:color="auto" w:fill="auto"/>
            <w:vAlign w:val="center"/>
          </w:tcPr>
          <w:p w14:paraId="29852531">
            <w:pPr>
              <w:pStyle w:val="3"/>
              <w:jc w:val="center"/>
              <w:rPr>
                <w:color w:val="000000"/>
              </w:rPr>
            </w:pPr>
            <w:r>
              <w:rPr>
                <w:color w:val="000000"/>
              </w:rPr>
              <w:t xml:space="preserve">附注  </w:t>
            </w:r>
            <w:r>
              <w:rPr>
                <w:color w:val="000000"/>
              </w:rPr>
              <w:br w:type="textWrapping"/>
            </w:r>
            <w:r>
              <w:rPr>
                <w:color w:val="000000"/>
              </w:rPr>
              <w:t>Remarks</w:t>
            </w:r>
          </w:p>
        </w:tc>
      </w:tr>
      <w:tr w14:paraId="373724E0">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4E3B784">
            <w:pPr>
              <w:pStyle w:val="3"/>
              <w:jc w:val="center"/>
            </w:pPr>
            <w:r>
              <w:rPr>
                <w:rFonts w:hint="eastAsia"/>
              </w:rPr>
              <w:t>1</w:t>
            </w:r>
          </w:p>
        </w:tc>
        <w:tc>
          <w:tcPr>
            <w:tcW w:w="889" w:type="pct"/>
            <w:tcBorders>
              <w:top w:val="single" w:color="auto" w:sz="4" w:space="0"/>
              <w:left w:val="nil"/>
              <w:bottom w:val="single" w:color="auto" w:sz="4" w:space="0"/>
              <w:right w:val="single" w:color="auto" w:sz="4" w:space="0"/>
            </w:tcBorders>
            <w:shd w:val="clear" w:color="auto" w:fill="auto"/>
            <w:vAlign w:val="center"/>
          </w:tcPr>
          <w:p w14:paraId="3C6CBE81">
            <w:pPr>
              <w:pStyle w:val="3"/>
              <w:jc w:val="center"/>
              <w:rPr>
                <w:color w:val="000000"/>
              </w:rPr>
            </w:pPr>
            <w:r>
              <w:rPr>
                <w:rFonts w:hint="eastAsia"/>
                <w:color w:val="000000"/>
              </w:rPr>
              <w:t>取水设施</w:t>
            </w:r>
          </w:p>
        </w:tc>
        <w:tc>
          <w:tcPr>
            <w:tcW w:w="2169" w:type="pct"/>
            <w:tcBorders>
              <w:top w:val="single" w:color="auto" w:sz="4" w:space="0"/>
              <w:left w:val="nil"/>
              <w:bottom w:val="single" w:color="auto" w:sz="4" w:space="0"/>
              <w:right w:val="single" w:color="auto" w:sz="4" w:space="0"/>
            </w:tcBorders>
            <w:shd w:val="clear" w:color="auto" w:fill="auto"/>
            <w:noWrap/>
            <w:vAlign w:val="center"/>
          </w:tcPr>
          <w:p w14:paraId="22DA084F">
            <w:pPr>
              <w:pStyle w:val="3"/>
              <w:jc w:val="center"/>
              <w:rPr>
                <w:color w:val="000000"/>
              </w:rPr>
            </w:pP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6A2EA889">
            <w:pPr>
              <w:pStyle w:val="3"/>
              <w:jc w:val="center"/>
              <w:rPr>
                <w:color w:val="000000"/>
              </w:rPr>
            </w:pPr>
          </w:p>
        </w:tc>
        <w:tc>
          <w:tcPr>
            <w:tcW w:w="477" w:type="pct"/>
            <w:tcBorders>
              <w:top w:val="single" w:color="auto" w:sz="4" w:space="0"/>
              <w:left w:val="nil"/>
              <w:bottom w:val="single" w:color="auto" w:sz="4" w:space="0"/>
              <w:right w:val="single" w:color="auto" w:sz="4" w:space="0"/>
            </w:tcBorders>
            <w:shd w:val="clear" w:color="auto" w:fill="auto"/>
            <w:vAlign w:val="center"/>
          </w:tcPr>
          <w:p w14:paraId="4F6FB8DD">
            <w:pPr>
              <w:pStyle w:val="3"/>
              <w:jc w:val="center"/>
              <w:rPr>
                <w:color w:val="000000"/>
              </w:rPr>
            </w:pPr>
          </w:p>
        </w:tc>
        <w:tc>
          <w:tcPr>
            <w:tcW w:w="592" w:type="pct"/>
            <w:tcBorders>
              <w:top w:val="single" w:color="auto" w:sz="4" w:space="0"/>
              <w:left w:val="nil"/>
              <w:bottom w:val="single" w:color="auto" w:sz="4" w:space="0"/>
              <w:right w:val="single" w:color="auto" w:sz="4" w:space="0"/>
            </w:tcBorders>
            <w:shd w:val="clear" w:color="auto" w:fill="auto"/>
            <w:vAlign w:val="center"/>
          </w:tcPr>
          <w:p w14:paraId="60665609">
            <w:pPr>
              <w:pStyle w:val="3"/>
              <w:jc w:val="center"/>
              <w:rPr>
                <w:color w:val="000000"/>
              </w:rPr>
            </w:pPr>
          </w:p>
        </w:tc>
      </w:tr>
      <w:tr w14:paraId="55C469D8">
        <w:tblPrEx>
          <w:tblCellMar>
            <w:top w:w="0" w:type="dxa"/>
            <w:left w:w="108" w:type="dxa"/>
            <w:bottom w:w="0" w:type="dxa"/>
            <w:right w:w="108" w:type="dxa"/>
          </w:tblCellMar>
        </w:tblPrEx>
        <w:trPr>
          <w:jc w:val="center"/>
        </w:trPr>
        <w:tc>
          <w:tcPr>
            <w:tcW w:w="437" w:type="pct"/>
            <w:tcBorders>
              <w:top w:val="nil"/>
              <w:left w:val="single" w:color="auto" w:sz="4" w:space="0"/>
              <w:bottom w:val="single" w:color="auto" w:sz="4" w:space="0"/>
              <w:right w:val="single" w:color="auto" w:sz="4" w:space="0"/>
            </w:tcBorders>
            <w:shd w:val="clear" w:color="auto" w:fill="auto"/>
            <w:vAlign w:val="center"/>
          </w:tcPr>
          <w:p w14:paraId="2725CE5E">
            <w:pPr>
              <w:pStyle w:val="3"/>
              <w:jc w:val="center"/>
            </w:pPr>
            <w:r>
              <w:rPr>
                <w:rFonts w:hint="eastAsia"/>
                <w:color w:val="000000"/>
              </w:rPr>
              <w:t>（</w:t>
            </w:r>
            <w:r>
              <w:rPr>
                <w:color w:val="000000"/>
              </w:rPr>
              <w:t>1</w:t>
            </w:r>
            <w:r>
              <w:rPr>
                <w:rFonts w:hint="eastAsia"/>
                <w:color w:val="000000"/>
              </w:rPr>
              <w:t>）</w:t>
            </w:r>
          </w:p>
        </w:tc>
        <w:tc>
          <w:tcPr>
            <w:tcW w:w="889" w:type="pct"/>
            <w:tcBorders>
              <w:top w:val="nil"/>
              <w:left w:val="nil"/>
              <w:bottom w:val="single" w:color="auto" w:sz="4" w:space="0"/>
              <w:right w:val="single" w:color="auto" w:sz="4" w:space="0"/>
            </w:tcBorders>
            <w:shd w:val="clear" w:color="auto" w:fill="auto"/>
            <w:vAlign w:val="center"/>
          </w:tcPr>
          <w:p w14:paraId="0E102D07">
            <w:pPr>
              <w:pStyle w:val="3"/>
              <w:jc w:val="center"/>
            </w:pPr>
            <w:r>
              <w:rPr>
                <w:rFonts w:hint="eastAsia"/>
                <w:color w:val="000000"/>
              </w:rPr>
              <w:t>取水</w:t>
            </w:r>
            <w:r>
              <w:rPr>
                <w:color w:val="000000"/>
              </w:rPr>
              <w:t>泵</w:t>
            </w:r>
          </w:p>
        </w:tc>
        <w:tc>
          <w:tcPr>
            <w:tcW w:w="2169" w:type="pct"/>
            <w:tcBorders>
              <w:top w:val="single" w:color="auto" w:sz="4" w:space="0"/>
              <w:left w:val="nil"/>
              <w:bottom w:val="single" w:color="auto" w:sz="4" w:space="0"/>
              <w:right w:val="single" w:color="auto" w:sz="4" w:space="0"/>
            </w:tcBorders>
            <w:shd w:val="clear" w:color="auto" w:fill="auto"/>
            <w:vAlign w:val="center"/>
          </w:tcPr>
          <w:p w14:paraId="62142D8A">
            <w:pPr>
              <w:pStyle w:val="3"/>
              <w:jc w:val="center"/>
            </w:pPr>
            <w:r>
              <w:rPr>
                <w:color w:val="000000"/>
              </w:rPr>
              <w:t>潜水排污泵，流量2</w:t>
            </w:r>
            <w:r>
              <w:rPr>
                <w:rFonts w:hint="eastAsia"/>
                <w:color w:val="000000"/>
              </w:rPr>
              <w:t>5</w:t>
            </w:r>
            <w:r>
              <w:rPr>
                <w:color w:val="000000"/>
              </w:rPr>
              <w:t>m</w:t>
            </w:r>
            <w:r>
              <w:rPr>
                <w:color w:val="000000"/>
                <w:vertAlign w:val="superscript"/>
              </w:rPr>
              <w:t>3</w:t>
            </w:r>
            <w:r>
              <w:rPr>
                <w:color w:val="000000"/>
              </w:rPr>
              <w:t>/h，扬程</w:t>
            </w:r>
            <w:r>
              <w:rPr>
                <w:rFonts w:hint="eastAsia"/>
                <w:color w:val="000000"/>
              </w:rPr>
              <w:t>20</w:t>
            </w:r>
            <w:r>
              <w:rPr>
                <w:color w:val="000000"/>
              </w:rPr>
              <w:t>m，防护等级IP68，</w:t>
            </w:r>
            <w:r>
              <w:rPr>
                <w:rFonts w:hint="eastAsia"/>
                <w:color w:val="000000"/>
              </w:rPr>
              <w:t>3.0</w:t>
            </w:r>
            <w:r>
              <w:rPr>
                <w:color w:val="000000"/>
              </w:rPr>
              <w:t>kW/380V</w:t>
            </w:r>
          </w:p>
        </w:tc>
        <w:tc>
          <w:tcPr>
            <w:tcW w:w="436" w:type="pct"/>
            <w:tcBorders>
              <w:top w:val="nil"/>
              <w:left w:val="nil"/>
              <w:bottom w:val="single" w:color="auto" w:sz="4" w:space="0"/>
              <w:right w:val="single" w:color="auto" w:sz="4" w:space="0"/>
            </w:tcBorders>
            <w:shd w:val="clear" w:color="auto" w:fill="auto"/>
            <w:vAlign w:val="center"/>
          </w:tcPr>
          <w:p w14:paraId="3B7D8E2D">
            <w:pPr>
              <w:pStyle w:val="3"/>
              <w:jc w:val="center"/>
            </w:pPr>
            <w:r>
              <w:rPr>
                <w:color w:val="000000"/>
              </w:rPr>
              <w:t>台</w:t>
            </w:r>
          </w:p>
        </w:tc>
        <w:tc>
          <w:tcPr>
            <w:tcW w:w="477" w:type="pct"/>
            <w:tcBorders>
              <w:top w:val="nil"/>
              <w:left w:val="nil"/>
              <w:bottom w:val="single" w:color="auto" w:sz="4" w:space="0"/>
              <w:right w:val="single" w:color="auto" w:sz="4" w:space="0"/>
            </w:tcBorders>
            <w:shd w:val="clear" w:color="auto" w:fill="auto"/>
            <w:vAlign w:val="center"/>
          </w:tcPr>
          <w:p w14:paraId="5208E21C">
            <w:pPr>
              <w:pStyle w:val="3"/>
              <w:jc w:val="center"/>
            </w:pPr>
            <w:r>
              <w:rPr>
                <w:rFonts w:hint="eastAsia"/>
              </w:rPr>
              <w:t>3</w:t>
            </w:r>
          </w:p>
        </w:tc>
        <w:tc>
          <w:tcPr>
            <w:tcW w:w="592" w:type="pct"/>
            <w:tcBorders>
              <w:top w:val="nil"/>
              <w:left w:val="nil"/>
              <w:bottom w:val="single" w:color="auto" w:sz="4" w:space="0"/>
              <w:right w:val="single" w:color="auto" w:sz="4" w:space="0"/>
            </w:tcBorders>
            <w:shd w:val="clear" w:color="auto" w:fill="auto"/>
            <w:vAlign w:val="center"/>
          </w:tcPr>
          <w:p w14:paraId="6CF90F32">
            <w:pPr>
              <w:pStyle w:val="3"/>
              <w:jc w:val="center"/>
            </w:pPr>
            <w:r>
              <w:rPr>
                <w:rFonts w:hint="eastAsia"/>
              </w:rPr>
              <w:t>2用1冷备</w:t>
            </w:r>
          </w:p>
        </w:tc>
      </w:tr>
      <w:tr w14:paraId="04B5A66C">
        <w:tblPrEx>
          <w:tblCellMar>
            <w:top w:w="0" w:type="dxa"/>
            <w:left w:w="108" w:type="dxa"/>
            <w:bottom w:w="0" w:type="dxa"/>
            <w:right w:w="108" w:type="dxa"/>
          </w:tblCellMar>
        </w:tblPrEx>
        <w:trPr>
          <w:jc w:val="center"/>
        </w:trPr>
        <w:tc>
          <w:tcPr>
            <w:tcW w:w="437" w:type="pct"/>
            <w:tcBorders>
              <w:top w:val="nil"/>
              <w:left w:val="single" w:color="auto" w:sz="4" w:space="0"/>
              <w:bottom w:val="single" w:color="auto" w:sz="4" w:space="0"/>
              <w:right w:val="single" w:color="auto" w:sz="4" w:space="0"/>
            </w:tcBorders>
            <w:shd w:val="clear" w:color="auto" w:fill="auto"/>
            <w:vAlign w:val="center"/>
          </w:tcPr>
          <w:p w14:paraId="14516521">
            <w:pPr>
              <w:pStyle w:val="3"/>
              <w:jc w:val="center"/>
              <w:rPr>
                <w:color w:val="000000"/>
              </w:rPr>
            </w:pPr>
            <w:r>
              <w:rPr>
                <w:rFonts w:hint="eastAsia"/>
                <w:color w:val="000000"/>
              </w:rPr>
              <w:t>（2）</w:t>
            </w:r>
          </w:p>
        </w:tc>
        <w:tc>
          <w:tcPr>
            <w:tcW w:w="889" w:type="pct"/>
            <w:tcBorders>
              <w:top w:val="nil"/>
              <w:left w:val="nil"/>
              <w:bottom w:val="single" w:color="auto" w:sz="4" w:space="0"/>
              <w:right w:val="single" w:color="auto" w:sz="4" w:space="0"/>
            </w:tcBorders>
            <w:shd w:val="clear" w:color="auto" w:fill="auto"/>
            <w:vAlign w:val="center"/>
          </w:tcPr>
          <w:p w14:paraId="34189A24">
            <w:pPr>
              <w:pStyle w:val="3"/>
              <w:jc w:val="center"/>
              <w:rPr>
                <w:color w:val="000000"/>
              </w:rPr>
            </w:pPr>
            <w:r>
              <w:rPr>
                <w:rFonts w:hint="eastAsia"/>
                <w:color w:val="000000"/>
              </w:rPr>
              <w:t>拦污装置</w:t>
            </w:r>
          </w:p>
        </w:tc>
        <w:tc>
          <w:tcPr>
            <w:tcW w:w="2169" w:type="pct"/>
            <w:tcBorders>
              <w:top w:val="single" w:color="auto" w:sz="4" w:space="0"/>
              <w:left w:val="nil"/>
              <w:bottom w:val="single" w:color="auto" w:sz="4" w:space="0"/>
              <w:right w:val="single" w:color="auto" w:sz="4" w:space="0"/>
            </w:tcBorders>
            <w:shd w:val="clear" w:color="auto" w:fill="auto"/>
            <w:vAlign w:val="center"/>
          </w:tcPr>
          <w:p w14:paraId="22FC2A3E">
            <w:pPr>
              <w:pStyle w:val="3"/>
              <w:jc w:val="center"/>
              <w:rPr>
                <w:color w:val="000000"/>
              </w:rPr>
            </w:pPr>
          </w:p>
        </w:tc>
        <w:tc>
          <w:tcPr>
            <w:tcW w:w="436" w:type="pct"/>
            <w:tcBorders>
              <w:top w:val="nil"/>
              <w:left w:val="nil"/>
              <w:bottom w:val="single" w:color="auto" w:sz="4" w:space="0"/>
              <w:right w:val="single" w:color="auto" w:sz="4" w:space="0"/>
            </w:tcBorders>
            <w:shd w:val="clear" w:color="auto" w:fill="auto"/>
            <w:vAlign w:val="center"/>
          </w:tcPr>
          <w:p w14:paraId="17C2FEC4">
            <w:pPr>
              <w:pStyle w:val="3"/>
              <w:jc w:val="center"/>
              <w:rPr>
                <w:color w:val="000000"/>
              </w:rPr>
            </w:pPr>
            <w:r>
              <w:rPr>
                <w:rFonts w:hint="eastAsia"/>
                <w:color w:val="000000"/>
              </w:rPr>
              <w:t>套</w:t>
            </w:r>
          </w:p>
        </w:tc>
        <w:tc>
          <w:tcPr>
            <w:tcW w:w="477" w:type="pct"/>
            <w:tcBorders>
              <w:top w:val="nil"/>
              <w:left w:val="nil"/>
              <w:bottom w:val="single" w:color="auto" w:sz="4" w:space="0"/>
              <w:right w:val="single" w:color="auto" w:sz="4" w:space="0"/>
            </w:tcBorders>
            <w:shd w:val="clear" w:color="auto" w:fill="auto"/>
            <w:vAlign w:val="center"/>
          </w:tcPr>
          <w:p w14:paraId="46A97711">
            <w:pPr>
              <w:pStyle w:val="3"/>
              <w:jc w:val="center"/>
            </w:pPr>
            <w:r>
              <w:rPr>
                <w:rFonts w:hint="eastAsia"/>
              </w:rPr>
              <w:t>1</w:t>
            </w:r>
          </w:p>
        </w:tc>
        <w:tc>
          <w:tcPr>
            <w:tcW w:w="592" w:type="pct"/>
            <w:tcBorders>
              <w:top w:val="nil"/>
              <w:left w:val="nil"/>
              <w:bottom w:val="single" w:color="auto" w:sz="4" w:space="0"/>
              <w:right w:val="single" w:color="auto" w:sz="4" w:space="0"/>
            </w:tcBorders>
            <w:shd w:val="clear" w:color="auto" w:fill="auto"/>
            <w:vAlign w:val="center"/>
          </w:tcPr>
          <w:p w14:paraId="1C321F01">
            <w:pPr>
              <w:pStyle w:val="3"/>
              <w:jc w:val="center"/>
            </w:pPr>
          </w:p>
        </w:tc>
      </w:tr>
      <w:tr w14:paraId="3A74C955">
        <w:tblPrEx>
          <w:tblCellMar>
            <w:top w:w="0" w:type="dxa"/>
            <w:left w:w="108" w:type="dxa"/>
            <w:bottom w:w="0" w:type="dxa"/>
            <w:right w:w="108" w:type="dxa"/>
          </w:tblCellMar>
        </w:tblPrEx>
        <w:trPr>
          <w:jc w:val="center"/>
        </w:trPr>
        <w:tc>
          <w:tcPr>
            <w:tcW w:w="437" w:type="pct"/>
            <w:tcBorders>
              <w:top w:val="nil"/>
              <w:left w:val="single" w:color="auto" w:sz="4" w:space="0"/>
              <w:bottom w:val="single" w:color="auto" w:sz="4" w:space="0"/>
              <w:right w:val="single" w:color="auto" w:sz="4" w:space="0"/>
            </w:tcBorders>
            <w:shd w:val="clear" w:color="auto" w:fill="auto"/>
            <w:vAlign w:val="center"/>
          </w:tcPr>
          <w:p w14:paraId="700D675E">
            <w:pPr>
              <w:pStyle w:val="3"/>
              <w:jc w:val="center"/>
              <w:rPr>
                <w:color w:val="000000"/>
              </w:rPr>
            </w:pPr>
            <w:r>
              <w:rPr>
                <w:rFonts w:hint="eastAsia"/>
                <w:color w:val="000000"/>
              </w:rPr>
              <w:t>2</w:t>
            </w:r>
          </w:p>
        </w:tc>
        <w:tc>
          <w:tcPr>
            <w:tcW w:w="889" w:type="pct"/>
            <w:tcBorders>
              <w:top w:val="nil"/>
              <w:left w:val="nil"/>
              <w:bottom w:val="single" w:color="auto" w:sz="4" w:space="0"/>
              <w:right w:val="single" w:color="auto" w:sz="4" w:space="0"/>
            </w:tcBorders>
            <w:shd w:val="clear" w:color="auto" w:fill="auto"/>
            <w:vAlign w:val="center"/>
          </w:tcPr>
          <w:p w14:paraId="0C749D50">
            <w:pPr>
              <w:pStyle w:val="3"/>
              <w:jc w:val="center"/>
              <w:rPr>
                <w:color w:val="000000"/>
              </w:rPr>
            </w:pPr>
            <w:r>
              <w:rPr>
                <w:rFonts w:hint="eastAsia"/>
                <w:color w:val="000000"/>
              </w:rPr>
              <w:t>一体化净水设施</w:t>
            </w:r>
          </w:p>
        </w:tc>
        <w:tc>
          <w:tcPr>
            <w:tcW w:w="2169" w:type="pct"/>
            <w:tcBorders>
              <w:top w:val="single" w:color="auto" w:sz="4" w:space="0"/>
              <w:left w:val="nil"/>
              <w:bottom w:val="single" w:color="auto" w:sz="4" w:space="0"/>
              <w:right w:val="single" w:color="auto" w:sz="4" w:space="0"/>
            </w:tcBorders>
            <w:shd w:val="clear" w:color="auto" w:fill="auto"/>
            <w:vAlign w:val="center"/>
          </w:tcPr>
          <w:p w14:paraId="1CAFF0FB">
            <w:pPr>
              <w:pStyle w:val="3"/>
              <w:jc w:val="center"/>
              <w:rPr>
                <w:color w:val="000000"/>
              </w:rPr>
            </w:pPr>
          </w:p>
        </w:tc>
        <w:tc>
          <w:tcPr>
            <w:tcW w:w="436" w:type="pct"/>
            <w:tcBorders>
              <w:top w:val="nil"/>
              <w:left w:val="nil"/>
              <w:bottom w:val="single" w:color="auto" w:sz="4" w:space="0"/>
              <w:right w:val="single" w:color="auto" w:sz="4" w:space="0"/>
            </w:tcBorders>
            <w:shd w:val="clear" w:color="auto" w:fill="auto"/>
            <w:vAlign w:val="center"/>
          </w:tcPr>
          <w:p w14:paraId="6C1C066F">
            <w:pPr>
              <w:pStyle w:val="3"/>
              <w:jc w:val="center"/>
              <w:rPr>
                <w:color w:val="000000"/>
              </w:rPr>
            </w:pPr>
          </w:p>
        </w:tc>
        <w:tc>
          <w:tcPr>
            <w:tcW w:w="477" w:type="pct"/>
            <w:tcBorders>
              <w:top w:val="nil"/>
              <w:left w:val="nil"/>
              <w:bottom w:val="single" w:color="auto" w:sz="4" w:space="0"/>
              <w:right w:val="single" w:color="auto" w:sz="4" w:space="0"/>
            </w:tcBorders>
            <w:shd w:val="clear" w:color="auto" w:fill="auto"/>
            <w:vAlign w:val="center"/>
          </w:tcPr>
          <w:p w14:paraId="43D67F76">
            <w:pPr>
              <w:pStyle w:val="3"/>
              <w:jc w:val="center"/>
            </w:pPr>
          </w:p>
        </w:tc>
        <w:tc>
          <w:tcPr>
            <w:tcW w:w="592" w:type="pct"/>
            <w:tcBorders>
              <w:top w:val="nil"/>
              <w:left w:val="nil"/>
              <w:bottom w:val="single" w:color="auto" w:sz="4" w:space="0"/>
              <w:right w:val="single" w:color="auto" w:sz="4" w:space="0"/>
            </w:tcBorders>
            <w:shd w:val="clear" w:color="auto" w:fill="auto"/>
            <w:vAlign w:val="center"/>
          </w:tcPr>
          <w:p w14:paraId="4E9800AA">
            <w:pPr>
              <w:pStyle w:val="3"/>
              <w:jc w:val="center"/>
            </w:pPr>
          </w:p>
        </w:tc>
      </w:tr>
      <w:tr w14:paraId="145A783F">
        <w:tblPrEx>
          <w:tblCellMar>
            <w:top w:w="0" w:type="dxa"/>
            <w:left w:w="108" w:type="dxa"/>
            <w:bottom w:w="0" w:type="dxa"/>
            <w:right w:w="108" w:type="dxa"/>
          </w:tblCellMar>
        </w:tblPrEx>
        <w:trPr>
          <w:jc w:val="center"/>
        </w:trPr>
        <w:tc>
          <w:tcPr>
            <w:tcW w:w="437" w:type="pct"/>
            <w:tcBorders>
              <w:top w:val="nil"/>
              <w:left w:val="single" w:color="auto" w:sz="4" w:space="0"/>
              <w:bottom w:val="single" w:color="auto" w:sz="4" w:space="0"/>
              <w:right w:val="single" w:color="auto" w:sz="4" w:space="0"/>
            </w:tcBorders>
            <w:shd w:val="clear" w:color="auto" w:fill="auto"/>
            <w:vAlign w:val="center"/>
          </w:tcPr>
          <w:p w14:paraId="3CAD6C86">
            <w:pPr>
              <w:pStyle w:val="3"/>
              <w:jc w:val="center"/>
              <w:rPr>
                <w:color w:val="000000"/>
              </w:rPr>
            </w:pPr>
            <w:r>
              <w:rPr>
                <w:rFonts w:hint="eastAsia"/>
                <w:color w:val="000000"/>
              </w:rPr>
              <w:t>2.1</w:t>
            </w:r>
          </w:p>
        </w:tc>
        <w:tc>
          <w:tcPr>
            <w:tcW w:w="889" w:type="pct"/>
            <w:tcBorders>
              <w:top w:val="nil"/>
              <w:left w:val="nil"/>
              <w:bottom w:val="single" w:color="auto" w:sz="4" w:space="0"/>
              <w:right w:val="single" w:color="auto" w:sz="4" w:space="0"/>
            </w:tcBorders>
            <w:shd w:val="clear" w:color="auto" w:fill="auto"/>
            <w:vAlign w:val="center"/>
          </w:tcPr>
          <w:p w14:paraId="0B7408E0">
            <w:pPr>
              <w:pStyle w:val="3"/>
              <w:jc w:val="center"/>
              <w:rPr>
                <w:color w:val="000000"/>
              </w:rPr>
            </w:pPr>
            <w:r>
              <w:rPr>
                <w:rFonts w:hint="eastAsia"/>
              </w:rPr>
              <w:t>TCCB装置</w:t>
            </w:r>
          </w:p>
        </w:tc>
        <w:tc>
          <w:tcPr>
            <w:tcW w:w="2169" w:type="pct"/>
            <w:tcBorders>
              <w:top w:val="single" w:color="auto" w:sz="4" w:space="0"/>
              <w:left w:val="nil"/>
              <w:bottom w:val="single" w:color="auto" w:sz="4" w:space="0"/>
              <w:right w:val="single" w:color="auto" w:sz="4" w:space="0"/>
            </w:tcBorders>
            <w:shd w:val="clear" w:color="auto" w:fill="auto"/>
            <w:vAlign w:val="center"/>
          </w:tcPr>
          <w:p w14:paraId="6EE4C1DD">
            <w:pPr>
              <w:pStyle w:val="3"/>
              <w:jc w:val="center"/>
              <w:rPr>
                <w:color w:val="000000"/>
              </w:rPr>
            </w:pPr>
            <w:r>
              <w:rPr>
                <w:rFonts w:hint="eastAsia"/>
                <w:color w:val="000000"/>
              </w:rPr>
              <w:t>包含如下：</w:t>
            </w:r>
          </w:p>
        </w:tc>
        <w:tc>
          <w:tcPr>
            <w:tcW w:w="436" w:type="pct"/>
            <w:tcBorders>
              <w:top w:val="nil"/>
              <w:left w:val="nil"/>
              <w:bottom w:val="single" w:color="auto" w:sz="4" w:space="0"/>
              <w:right w:val="single" w:color="auto" w:sz="4" w:space="0"/>
            </w:tcBorders>
            <w:shd w:val="clear" w:color="auto" w:fill="auto"/>
            <w:vAlign w:val="center"/>
          </w:tcPr>
          <w:p w14:paraId="0C57B2DD">
            <w:pPr>
              <w:pStyle w:val="3"/>
              <w:jc w:val="center"/>
            </w:pPr>
            <w:r>
              <w:t>套</w:t>
            </w:r>
          </w:p>
        </w:tc>
        <w:tc>
          <w:tcPr>
            <w:tcW w:w="477" w:type="pct"/>
            <w:tcBorders>
              <w:top w:val="nil"/>
              <w:left w:val="nil"/>
              <w:bottom w:val="single" w:color="auto" w:sz="4" w:space="0"/>
              <w:right w:val="single" w:color="auto" w:sz="4" w:space="0"/>
            </w:tcBorders>
            <w:shd w:val="clear" w:color="auto" w:fill="auto"/>
            <w:vAlign w:val="center"/>
          </w:tcPr>
          <w:p w14:paraId="7ACB51DE">
            <w:pPr>
              <w:pStyle w:val="3"/>
              <w:jc w:val="center"/>
            </w:pPr>
            <w:r>
              <w:t>1</w:t>
            </w:r>
          </w:p>
        </w:tc>
        <w:tc>
          <w:tcPr>
            <w:tcW w:w="592" w:type="pct"/>
            <w:tcBorders>
              <w:top w:val="nil"/>
              <w:left w:val="nil"/>
              <w:bottom w:val="single" w:color="auto" w:sz="4" w:space="0"/>
              <w:right w:val="single" w:color="auto" w:sz="4" w:space="0"/>
            </w:tcBorders>
            <w:shd w:val="clear" w:color="auto" w:fill="auto"/>
            <w:vAlign w:val="center"/>
          </w:tcPr>
          <w:p w14:paraId="28C4611E">
            <w:pPr>
              <w:pStyle w:val="3"/>
              <w:jc w:val="center"/>
            </w:pPr>
          </w:p>
        </w:tc>
      </w:tr>
      <w:tr w14:paraId="6FE4846B">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56EFAC7B">
            <w:pPr>
              <w:pStyle w:val="3"/>
              <w:jc w:val="center"/>
            </w:pPr>
            <w:r>
              <w:rPr>
                <w:rFonts w:hint="eastAsia"/>
              </w:rPr>
              <w:t>（1）</w:t>
            </w:r>
          </w:p>
        </w:tc>
        <w:tc>
          <w:tcPr>
            <w:tcW w:w="889" w:type="pct"/>
            <w:tcBorders>
              <w:top w:val="single" w:color="auto" w:sz="4" w:space="0"/>
              <w:left w:val="nil"/>
              <w:bottom w:val="single" w:color="auto" w:sz="4" w:space="0"/>
              <w:right w:val="single" w:color="auto" w:sz="4" w:space="0"/>
            </w:tcBorders>
            <w:shd w:val="clear" w:color="auto" w:fill="auto"/>
            <w:vAlign w:val="center"/>
          </w:tcPr>
          <w:p w14:paraId="5279FBBA">
            <w:pPr>
              <w:pStyle w:val="3"/>
              <w:jc w:val="center"/>
            </w:pPr>
            <w:r>
              <w:rPr>
                <w:rFonts w:hint="eastAsia"/>
              </w:rPr>
              <w:t>主体设备</w:t>
            </w:r>
          </w:p>
        </w:tc>
        <w:tc>
          <w:tcPr>
            <w:tcW w:w="2169" w:type="pct"/>
            <w:tcBorders>
              <w:top w:val="single" w:color="auto" w:sz="4" w:space="0"/>
              <w:left w:val="nil"/>
              <w:bottom w:val="single" w:color="auto" w:sz="4" w:space="0"/>
              <w:right w:val="single" w:color="auto" w:sz="4" w:space="0"/>
            </w:tcBorders>
            <w:shd w:val="clear" w:color="auto" w:fill="auto"/>
            <w:vAlign w:val="center"/>
          </w:tcPr>
          <w:p w14:paraId="7EC7EBA7">
            <w:pPr>
              <w:pStyle w:val="3"/>
              <w:jc w:val="center"/>
              <w:rPr>
                <w:color w:val="000000"/>
              </w:rPr>
            </w:pPr>
            <w:r>
              <w:rPr>
                <w:rFonts w:hint="eastAsia"/>
                <w:color w:val="000000"/>
              </w:rPr>
              <w:t>处理能力5</w:t>
            </w:r>
            <w:r>
              <w:rPr>
                <w:color w:val="000000"/>
              </w:rPr>
              <w:t>0</w:t>
            </w:r>
            <w:r>
              <w:rPr>
                <w:rFonts w:hint="eastAsia"/>
                <w:color w:val="000000"/>
              </w:rPr>
              <w:t>0m</w:t>
            </w:r>
            <w:r>
              <w:rPr>
                <w:rFonts w:hint="eastAsia"/>
                <w:color w:val="000000"/>
                <w:vertAlign w:val="superscript"/>
              </w:rPr>
              <w:t>3</w:t>
            </w:r>
            <w:r>
              <w:rPr>
                <w:rFonts w:hint="eastAsia"/>
                <w:color w:val="000000"/>
              </w:rPr>
              <w:t>/</w:t>
            </w:r>
            <w:r>
              <w:rPr>
                <w:color w:val="000000"/>
              </w:rPr>
              <w:t>d</w:t>
            </w:r>
            <w:r>
              <w:rPr>
                <w:rFonts w:hint="eastAsia"/>
                <w:color w:val="000000"/>
              </w:rPr>
              <w:t>，外形尺寸</w:t>
            </w:r>
            <w:r>
              <w:rPr>
                <w:rFonts w:hint="eastAsia" w:ascii="MS Gothic" w:hAnsi="MS Gothic" w:eastAsia="MS Gothic" w:cs="MS Gothic"/>
                <w:color w:val="000000"/>
              </w:rPr>
              <w:t>∅</w:t>
            </w:r>
            <w:r>
              <w:rPr>
                <w:color w:val="000000"/>
              </w:rPr>
              <w:t>4</w:t>
            </w:r>
            <w:r>
              <w:rPr>
                <w:rFonts w:hint="eastAsia"/>
                <w:color w:val="000000"/>
              </w:rPr>
              <w:t>.</w:t>
            </w:r>
            <w:r>
              <w:rPr>
                <w:color w:val="000000"/>
              </w:rPr>
              <w:t>0</w:t>
            </w:r>
            <w:r>
              <w:rPr>
                <w:rFonts w:hint="eastAsia"/>
                <w:color w:val="000000"/>
              </w:rPr>
              <w:t>×H</w:t>
            </w:r>
            <w:r>
              <w:rPr>
                <w:color w:val="000000"/>
              </w:rPr>
              <w:t>7.5</w:t>
            </w:r>
            <w:r>
              <w:rPr>
                <w:rFonts w:hint="eastAsia"/>
                <w:color w:val="000000"/>
              </w:rPr>
              <w:t>(m</w:t>
            </w:r>
            <w:r>
              <w:rPr>
                <w:color w:val="000000"/>
              </w:rPr>
              <w:t>)</w:t>
            </w:r>
            <w:r>
              <w:rPr>
                <w:rFonts w:hint="eastAsia"/>
                <w:color w:val="000000"/>
              </w:rPr>
              <w:t>；配套回流设施Q=25m</w:t>
            </w:r>
            <w:r>
              <w:rPr>
                <w:color w:val="000000"/>
              </w:rPr>
              <w:t>3</w:t>
            </w:r>
            <w:r>
              <w:rPr>
                <w:rFonts w:hint="eastAsia"/>
                <w:color w:val="000000"/>
              </w:rPr>
              <w:t>/h，2.2kW/380V</w:t>
            </w:r>
          </w:p>
        </w:tc>
        <w:tc>
          <w:tcPr>
            <w:tcW w:w="436" w:type="pct"/>
            <w:tcBorders>
              <w:top w:val="single" w:color="auto" w:sz="4" w:space="0"/>
              <w:left w:val="nil"/>
              <w:bottom w:val="single" w:color="auto" w:sz="4" w:space="0"/>
              <w:right w:val="single" w:color="auto" w:sz="4" w:space="0"/>
            </w:tcBorders>
            <w:shd w:val="clear" w:color="auto" w:fill="auto"/>
            <w:vAlign w:val="center"/>
          </w:tcPr>
          <w:p w14:paraId="1CAF4F0F">
            <w:pPr>
              <w:pStyle w:val="3"/>
              <w:jc w:val="center"/>
            </w:pPr>
            <w:r>
              <w:rPr>
                <w:color w:val="000000"/>
              </w:rPr>
              <w:t>台</w:t>
            </w:r>
          </w:p>
        </w:tc>
        <w:tc>
          <w:tcPr>
            <w:tcW w:w="477" w:type="pct"/>
            <w:tcBorders>
              <w:top w:val="nil"/>
              <w:left w:val="nil"/>
              <w:bottom w:val="single" w:color="auto" w:sz="4" w:space="0"/>
              <w:right w:val="single" w:color="auto" w:sz="4" w:space="0"/>
            </w:tcBorders>
            <w:shd w:val="clear" w:color="auto" w:fill="auto"/>
            <w:vAlign w:val="center"/>
          </w:tcPr>
          <w:p w14:paraId="7F8D45E1">
            <w:pPr>
              <w:pStyle w:val="3"/>
              <w:jc w:val="center"/>
            </w:pPr>
            <w:r>
              <w:rPr>
                <w:rFonts w:hint="eastAsia"/>
                <w:color w:val="000000"/>
              </w:rPr>
              <w:t>2</w:t>
            </w:r>
          </w:p>
        </w:tc>
        <w:tc>
          <w:tcPr>
            <w:tcW w:w="592" w:type="pct"/>
            <w:tcBorders>
              <w:top w:val="nil"/>
              <w:left w:val="nil"/>
              <w:bottom w:val="single" w:color="auto" w:sz="4" w:space="0"/>
              <w:right w:val="single" w:color="auto" w:sz="4" w:space="0"/>
            </w:tcBorders>
            <w:shd w:val="clear" w:color="auto" w:fill="auto"/>
            <w:vAlign w:val="center"/>
          </w:tcPr>
          <w:p w14:paraId="4E93B75E">
            <w:pPr>
              <w:pStyle w:val="3"/>
              <w:jc w:val="center"/>
            </w:pPr>
          </w:p>
        </w:tc>
      </w:tr>
      <w:tr w14:paraId="58B2D444">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017AF3F4">
            <w:pPr>
              <w:pStyle w:val="3"/>
              <w:jc w:val="center"/>
            </w:pPr>
            <w:r>
              <w:rPr>
                <w:rFonts w:hint="eastAsia"/>
              </w:rPr>
              <w:t>（2）</w:t>
            </w:r>
          </w:p>
        </w:tc>
        <w:tc>
          <w:tcPr>
            <w:tcW w:w="889" w:type="pct"/>
            <w:tcBorders>
              <w:top w:val="single" w:color="auto" w:sz="4" w:space="0"/>
              <w:left w:val="nil"/>
              <w:bottom w:val="single" w:color="auto" w:sz="4" w:space="0"/>
              <w:right w:val="single" w:color="auto" w:sz="4" w:space="0"/>
            </w:tcBorders>
            <w:shd w:val="clear" w:color="auto" w:fill="auto"/>
            <w:vAlign w:val="center"/>
          </w:tcPr>
          <w:p w14:paraId="19BE6367">
            <w:pPr>
              <w:pStyle w:val="3"/>
              <w:jc w:val="center"/>
            </w:pPr>
            <w:r>
              <w:rPr>
                <w:rFonts w:hint="eastAsia"/>
                <w:color w:val="000000"/>
              </w:rPr>
              <w:t>鼓风机</w:t>
            </w:r>
          </w:p>
        </w:tc>
        <w:tc>
          <w:tcPr>
            <w:tcW w:w="2169" w:type="pct"/>
            <w:tcBorders>
              <w:top w:val="single" w:color="auto" w:sz="4" w:space="0"/>
              <w:left w:val="nil"/>
              <w:bottom w:val="single" w:color="auto" w:sz="4" w:space="0"/>
              <w:right w:val="single" w:color="auto" w:sz="4" w:space="0"/>
            </w:tcBorders>
            <w:shd w:val="clear" w:color="auto" w:fill="auto"/>
            <w:vAlign w:val="center"/>
          </w:tcPr>
          <w:p w14:paraId="7F1DDF52">
            <w:pPr>
              <w:pStyle w:val="3"/>
              <w:jc w:val="center"/>
              <w:rPr>
                <w:color w:val="FF0000"/>
              </w:rPr>
            </w:pPr>
            <w:r>
              <w:rPr>
                <w:rFonts w:hint="eastAsia"/>
              </w:rPr>
              <w:t>罗茨风机，</w:t>
            </w:r>
            <w:r>
              <w:t>Q=</w:t>
            </w:r>
            <w:r>
              <w:rPr>
                <w:rFonts w:hint="eastAsia"/>
              </w:rPr>
              <w:t>1.5m</w:t>
            </w:r>
            <w:r>
              <w:rPr>
                <w:rFonts w:hint="eastAsia"/>
                <w:vertAlign w:val="superscript"/>
              </w:rPr>
              <w:t>3</w:t>
            </w:r>
            <w:r>
              <w:rPr>
                <w:rFonts w:hint="eastAsia"/>
              </w:rPr>
              <w:t>/</w:t>
            </w:r>
            <w:r>
              <w:t>min</w:t>
            </w:r>
            <w:r>
              <w:rPr>
                <w:rFonts w:hint="eastAsia"/>
              </w:rPr>
              <w:t>，P=78.4kPa，N=5.5kW/380V</w:t>
            </w:r>
            <w:r>
              <w:rPr>
                <w:rFonts w:hint="eastAsia"/>
                <w:color w:val="000000" w:themeColor="text1"/>
                <w14:textFill>
                  <w14:solidFill>
                    <w14:schemeClr w14:val="tx1"/>
                  </w14:solidFill>
                </w14:textFill>
              </w:rPr>
              <w:t>，变频</w:t>
            </w:r>
          </w:p>
        </w:tc>
        <w:tc>
          <w:tcPr>
            <w:tcW w:w="436" w:type="pct"/>
            <w:tcBorders>
              <w:top w:val="single" w:color="auto" w:sz="4" w:space="0"/>
              <w:left w:val="nil"/>
              <w:bottom w:val="single" w:color="auto" w:sz="4" w:space="0"/>
              <w:right w:val="single" w:color="auto" w:sz="4" w:space="0"/>
            </w:tcBorders>
            <w:shd w:val="clear" w:color="auto" w:fill="auto"/>
            <w:vAlign w:val="center"/>
          </w:tcPr>
          <w:p w14:paraId="591E8B28">
            <w:pPr>
              <w:pStyle w:val="3"/>
              <w:jc w:val="center"/>
              <w:rPr>
                <w:color w:val="000000"/>
              </w:rPr>
            </w:pPr>
            <w:r>
              <w:rPr>
                <w:color w:val="000000"/>
              </w:rPr>
              <w:t>台</w:t>
            </w:r>
          </w:p>
        </w:tc>
        <w:tc>
          <w:tcPr>
            <w:tcW w:w="477" w:type="pct"/>
            <w:tcBorders>
              <w:top w:val="nil"/>
              <w:left w:val="nil"/>
              <w:bottom w:val="single" w:color="auto" w:sz="4" w:space="0"/>
              <w:right w:val="single" w:color="auto" w:sz="4" w:space="0"/>
            </w:tcBorders>
            <w:shd w:val="clear" w:color="auto" w:fill="auto"/>
            <w:vAlign w:val="center"/>
          </w:tcPr>
          <w:p w14:paraId="45C95998">
            <w:pPr>
              <w:pStyle w:val="3"/>
              <w:jc w:val="center"/>
              <w:rPr>
                <w:color w:val="000000"/>
              </w:rPr>
            </w:pPr>
            <w:r>
              <w:rPr>
                <w:rFonts w:hint="eastAsia"/>
                <w:color w:val="000000"/>
              </w:rPr>
              <w:t>3</w:t>
            </w:r>
          </w:p>
        </w:tc>
        <w:tc>
          <w:tcPr>
            <w:tcW w:w="592" w:type="pct"/>
            <w:tcBorders>
              <w:top w:val="nil"/>
              <w:left w:val="nil"/>
              <w:bottom w:val="single" w:color="auto" w:sz="4" w:space="0"/>
              <w:right w:val="single" w:color="auto" w:sz="4" w:space="0"/>
            </w:tcBorders>
            <w:shd w:val="clear" w:color="auto" w:fill="auto"/>
            <w:vAlign w:val="center"/>
          </w:tcPr>
          <w:p w14:paraId="190C15DC">
            <w:pPr>
              <w:pStyle w:val="3"/>
              <w:jc w:val="center"/>
            </w:pPr>
            <w:r>
              <w:rPr>
                <w:rFonts w:hint="eastAsia"/>
              </w:rPr>
              <w:t>2用1备</w:t>
            </w:r>
          </w:p>
        </w:tc>
      </w:tr>
      <w:tr w14:paraId="29C74FD9">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26D1F304">
            <w:pPr>
              <w:pStyle w:val="3"/>
              <w:jc w:val="center"/>
            </w:pPr>
            <w:r>
              <w:rPr>
                <w:rFonts w:hint="eastAsia"/>
              </w:rPr>
              <w:t>2.2</w:t>
            </w:r>
          </w:p>
        </w:tc>
        <w:tc>
          <w:tcPr>
            <w:tcW w:w="889" w:type="pct"/>
            <w:tcBorders>
              <w:top w:val="single" w:color="auto" w:sz="4" w:space="0"/>
              <w:left w:val="nil"/>
              <w:bottom w:val="single" w:color="auto" w:sz="4" w:space="0"/>
              <w:right w:val="single" w:color="auto" w:sz="4" w:space="0"/>
            </w:tcBorders>
            <w:shd w:val="clear" w:color="auto" w:fill="auto"/>
            <w:vAlign w:val="center"/>
          </w:tcPr>
          <w:p w14:paraId="5B50342D">
            <w:pPr>
              <w:pStyle w:val="3"/>
              <w:jc w:val="center"/>
              <w:rPr>
                <w:color w:val="000000"/>
              </w:rPr>
            </w:pPr>
            <w:r>
              <w:rPr>
                <w:rFonts w:hint="eastAsia" w:ascii="宋体" w:hAnsi="宋体"/>
                <w:szCs w:val="24"/>
              </w:rPr>
              <w:t>RAP-H装置</w:t>
            </w:r>
          </w:p>
        </w:tc>
        <w:tc>
          <w:tcPr>
            <w:tcW w:w="2169" w:type="pct"/>
            <w:tcBorders>
              <w:top w:val="single" w:color="auto" w:sz="4" w:space="0"/>
              <w:left w:val="nil"/>
              <w:bottom w:val="single" w:color="auto" w:sz="4" w:space="0"/>
              <w:right w:val="single" w:color="auto" w:sz="4" w:space="0"/>
            </w:tcBorders>
            <w:shd w:val="clear" w:color="auto" w:fill="auto"/>
            <w:vAlign w:val="center"/>
          </w:tcPr>
          <w:p w14:paraId="23084852">
            <w:pPr>
              <w:pStyle w:val="3"/>
              <w:jc w:val="center"/>
            </w:pPr>
            <w:r>
              <w:rPr>
                <w:rFonts w:hint="eastAsia"/>
                <w:color w:val="000000"/>
              </w:rPr>
              <w:t>包含如下：</w:t>
            </w:r>
          </w:p>
        </w:tc>
        <w:tc>
          <w:tcPr>
            <w:tcW w:w="436" w:type="pct"/>
            <w:tcBorders>
              <w:top w:val="single" w:color="auto" w:sz="4" w:space="0"/>
              <w:left w:val="nil"/>
              <w:bottom w:val="single" w:color="auto" w:sz="4" w:space="0"/>
              <w:right w:val="single" w:color="auto" w:sz="4" w:space="0"/>
            </w:tcBorders>
            <w:shd w:val="clear" w:color="auto" w:fill="auto"/>
            <w:vAlign w:val="center"/>
          </w:tcPr>
          <w:p w14:paraId="58D17822">
            <w:pPr>
              <w:pStyle w:val="3"/>
              <w:jc w:val="center"/>
            </w:pPr>
            <w:r>
              <w:t>套</w:t>
            </w:r>
          </w:p>
        </w:tc>
        <w:tc>
          <w:tcPr>
            <w:tcW w:w="477" w:type="pct"/>
            <w:tcBorders>
              <w:top w:val="nil"/>
              <w:left w:val="nil"/>
              <w:bottom w:val="single" w:color="auto" w:sz="4" w:space="0"/>
              <w:right w:val="single" w:color="auto" w:sz="4" w:space="0"/>
            </w:tcBorders>
            <w:shd w:val="clear" w:color="auto" w:fill="auto"/>
            <w:vAlign w:val="center"/>
          </w:tcPr>
          <w:p w14:paraId="2E02E879">
            <w:pPr>
              <w:pStyle w:val="3"/>
              <w:jc w:val="center"/>
            </w:pPr>
            <w:r>
              <w:t>1</w:t>
            </w:r>
          </w:p>
        </w:tc>
        <w:tc>
          <w:tcPr>
            <w:tcW w:w="592" w:type="pct"/>
            <w:tcBorders>
              <w:top w:val="nil"/>
              <w:left w:val="nil"/>
              <w:bottom w:val="single" w:color="auto" w:sz="4" w:space="0"/>
              <w:right w:val="single" w:color="auto" w:sz="4" w:space="0"/>
            </w:tcBorders>
            <w:shd w:val="clear" w:color="auto" w:fill="auto"/>
            <w:vAlign w:val="center"/>
          </w:tcPr>
          <w:p w14:paraId="79349850">
            <w:pPr>
              <w:pStyle w:val="3"/>
              <w:jc w:val="center"/>
            </w:pPr>
          </w:p>
        </w:tc>
      </w:tr>
      <w:tr w14:paraId="66ABC090">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38F5B57F">
            <w:pPr>
              <w:pStyle w:val="3"/>
              <w:jc w:val="center"/>
              <w:rPr>
                <w:color w:val="000000"/>
              </w:rPr>
            </w:pPr>
            <w:r>
              <w:rPr>
                <w:rFonts w:hint="eastAsia"/>
              </w:rPr>
              <w:t>（1）</w:t>
            </w:r>
          </w:p>
        </w:tc>
        <w:tc>
          <w:tcPr>
            <w:tcW w:w="889" w:type="pct"/>
            <w:tcBorders>
              <w:top w:val="single" w:color="auto" w:sz="4" w:space="0"/>
              <w:left w:val="nil"/>
              <w:bottom w:val="single" w:color="auto" w:sz="4" w:space="0"/>
              <w:right w:val="single" w:color="auto" w:sz="4" w:space="0"/>
            </w:tcBorders>
            <w:shd w:val="clear" w:color="auto" w:fill="auto"/>
            <w:vAlign w:val="center"/>
          </w:tcPr>
          <w:p w14:paraId="1BFEC870">
            <w:pPr>
              <w:pStyle w:val="3"/>
              <w:jc w:val="center"/>
              <w:rPr>
                <w:color w:val="000000"/>
              </w:rPr>
            </w:pPr>
            <w:r>
              <w:rPr>
                <w:rFonts w:hint="eastAsia"/>
              </w:rPr>
              <w:t>主体设备</w:t>
            </w:r>
          </w:p>
        </w:tc>
        <w:tc>
          <w:tcPr>
            <w:tcW w:w="2169" w:type="pct"/>
            <w:tcBorders>
              <w:top w:val="single" w:color="auto" w:sz="4" w:space="0"/>
              <w:left w:val="nil"/>
              <w:bottom w:val="single" w:color="auto" w:sz="4" w:space="0"/>
              <w:right w:val="single" w:color="auto" w:sz="4" w:space="0"/>
            </w:tcBorders>
            <w:shd w:val="clear" w:color="auto" w:fill="auto"/>
            <w:vAlign w:val="center"/>
          </w:tcPr>
          <w:p w14:paraId="070D758E">
            <w:pPr>
              <w:pStyle w:val="3"/>
              <w:jc w:val="center"/>
              <w:rPr>
                <w:color w:val="000000"/>
              </w:rPr>
            </w:pPr>
            <w:r>
              <w:rPr>
                <w:rFonts w:hint="eastAsia"/>
              </w:rPr>
              <w:t>处理量10</w:t>
            </w:r>
            <w:r>
              <w:t>00</w:t>
            </w:r>
            <w:r>
              <w:rPr>
                <w:rFonts w:hint="eastAsia"/>
              </w:rPr>
              <w:t>m</w:t>
            </w:r>
            <w:r>
              <w:rPr>
                <w:rFonts w:hint="eastAsia"/>
                <w:vertAlign w:val="superscript"/>
              </w:rPr>
              <w:t>3</w:t>
            </w:r>
            <w:r>
              <w:rPr>
                <w:rFonts w:hint="eastAsia"/>
              </w:rPr>
              <w:t>/d，外形尺寸：L</w:t>
            </w:r>
            <w:r>
              <w:t>5.2</w:t>
            </w:r>
            <w:r>
              <w:rPr>
                <w:rFonts w:hint="eastAsia"/>
              </w:rPr>
              <w:t>×W</w:t>
            </w:r>
            <w:r>
              <w:t>1</w:t>
            </w:r>
            <w:r>
              <w:rPr>
                <w:rFonts w:hint="eastAsia"/>
              </w:rPr>
              <w:t>.</w:t>
            </w:r>
            <w:r>
              <w:t>60</w:t>
            </w:r>
            <w:r>
              <w:rPr>
                <w:rFonts w:hint="eastAsia"/>
              </w:rPr>
              <w:t>×H</w:t>
            </w:r>
            <w:r>
              <w:t>3.40</w:t>
            </w:r>
            <w:r>
              <w:rPr>
                <w:rFonts w:hint="eastAsia"/>
              </w:rPr>
              <w:t>（m）</w:t>
            </w:r>
          </w:p>
        </w:tc>
        <w:tc>
          <w:tcPr>
            <w:tcW w:w="436" w:type="pct"/>
            <w:tcBorders>
              <w:top w:val="single" w:color="auto" w:sz="4" w:space="0"/>
              <w:left w:val="nil"/>
              <w:bottom w:val="single" w:color="auto" w:sz="4" w:space="0"/>
              <w:right w:val="single" w:color="auto" w:sz="4" w:space="0"/>
            </w:tcBorders>
            <w:shd w:val="clear" w:color="auto" w:fill="auto"/>
            <w:vAlign w:val="center"/>
          </w:tcPr>
          <w:p w14:paraId="1666D571">
            <w:pPr>
              <w:pStyle w:val="3"/>
              <w:jc w:val="center"/>
            </w:pPr>
            <w:r>
              <w:rPr>
                <w:color w:val="000000"/>
              </w:rPr>
              <w:t>台</w:t>
            </w:r>
          </w:p>
        </w:tc>
        <w:tc>
          <w:tcPr>
            <w:tcW w:w="477" w:type="pct"/>
            <w:tcBorders>
              <w:top w:val="nil"/>
              <w:left w:val="nil"/>
              <w:bottom w:val="single" w:color="auto" w:sz="4" w:space="0"/>
              <w:right w:val="single" w:color="auto" w:sz="4" w:space="0"/>
            </w:tcBorders>
            <w:shd w:val="clear" w:color="auto" w:fill="auto"/>
            <w:vAlign w:val="center"/>
          </w:tcPr>
          <w:p w14:paraId="48727F16">
            <w:pPr>
              <w:pStyle w:val="3"/>
              <w:jc w:val="center"/>
            </w:pPr>
            <w:r>
              <w:rPr>
                <w:color w:val="000000"/>
              </w:rPr>
              <w:t>1</w:t>
            </w:r>
          </w:p>
        </w:tc>
        <w:tc>
          <w:tcPr>
            <w:tcW w:w="592" w:type="pct"/>
            <w:tcBorders>
              <w:top w:val="nil"/>
              <w:left w:val="nil"/>
              <w:bottom w:val="single" w:color="auto" w:sz="4" w:space="0"/>
              <w:right w:val="single" w:color="auto" w:sz="4" w:space="0"/>
            </w:tcBorders>
            <w:shd w:val="clear" w:color="auto" w:fill="auto"/>
            <w:vAlign w:val="center"/>
          </w:tcPr>
          <w:p w14:paraId="71E368F5">
            <w:pPr>
              <w:pStyle w:val="3"/>
              <w:jc w:val="center"/>
            </w:pPr>
          </w:p>
        </w:tc>
      </w:tr>
      <w:tr w14:paraId="310A970B">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5C24FFE1">
            <w:pPr>
              <w:pStyle w:val="3"/>
              <w:jc w:val="center"/>
            </w:pPr>
            <w:r>
              <w:rPr>
                <w:rFonts w:hint="eastAsia"/>
              </w:rPr>
              <w:t>（2）</w:t>
            </w:r>
          </w:p>
        </w:tc>
        <w:tc>
          <w:tcPr>
            <w:tcW w:w="889" w:type="pct"/>
            <w:tcBorders>
              <w:top w:val="single" w:color="auto" w:sz="4" w:space="0"/>
              <w:left w:val="nil"/>
              <w:bottom w:val="single" w:color="auto" w:sz="4" w:space="0"/>
              <w:right w:val="single" w:color="auto" w:sz="4" w:space="0"/>
            </w:tcBorders>
            <w:shd w:val="clear" w:color="auto" w:fill="auto"/>
            <w:vAlign w:val="center"/>
          </w:tcPr>
          <w:p w14:paraId="7B300981">
            <w:pPr>
              <w:pStyle w:val="3"/>
              <w:jc w:val="center"/>
            </w:pPr>
            <w:r>
              <w:t>PAC加药</w:t>
            </w:r>
            <w:r>
              <w:rPr>
                <w:rFonts w:hint="eastAsia"/>
              </w:rPr>
              <w:t>装置</w:t>
            </w:r>
          </w:p>
        </w:tc>
        <w:tc>
          <w:tcPr>
            <w:tcW w:w="2169" w:type="pct"/>
            <w:tcBorders>
              <w:top w:val="single" w:color="auto" w:sz="4" w:space="0"/>
              <w:left w:val="nil"/>
              <w:bottom w:val="single" w:color="auto" w:sz="4" w:space="0"/>
              <w:right w:val="single" w:color="auto" w:sz="4" w:space="0"/>
            </w:tcBorders>
            <w:shd w:val="clear" w:color="auto" w:fill="auto"/>
            <w:vAlign w:val="center"/>
          </w:tcPr>
          <w:p w14:paraId="307FAA9E">
            <w:pPr>
              <w:pStyle w:val="3"/>
              <w:jc w:val="center"/>
            </w:pPr>
            <w:r>
              <w:rPr>
                <w:rFonts w:hint="eastAsia"/>
              </w:rPr>
              <w:t>PAC投加能力~25L/h</w:t>
            </w:r>
          </w:p>
        </w:tc>
        <w:tc>
          <w:tcPr>
            <w:tcW w:w="436" w:type="pct"/>
            <w:tcBorders>
              <w:top w:val="single" w:color="auto" w:sz="4" w:space="0"/>
              <w:left w:val="nil"/>
              <w:bottom w:val="single" w:color="auto" w:sz="4" w:space="0"/>
              <w:right w:val="single" w:color="auto" w:sz="4" w:space="0"/>
            </w:tcBorders>
            <w:shd w:val="clear" w:color="auto" w:fill="auto"/>
            <w:vAlign w:val="center"/>
          </w:tcPr>
          <w:p w14:paraId="47003BE9">
            <w:pPr>
              <w:pStyle w:val="3"/>
              <w:jc w:val="center"/>
            </w:pPr>
            <w:r>
              <w:t>套</w:t>
            </w:r>
          </w:p>
        </w:tc>
        <w:tc>
          <w:tcPr>
            <w:tcW w:w="477" w:type="pct"/>
            <w:tcBorders>
              <w:top w:val="nil"/>
              <w:left w:val="nil"/>
              <w:bottom w:val="single" w:color="auto" w:sz="4" w:space="0"/>
              <w:right w:val="single" w:color="auto" w:sz="4" w:space="0"/>
            </w:tcBorders>
            <w:shd w:val="clear" w:color="auto" w:fill="auto"/>
            <w:vAlign w:val="center"/>
          </w:tcPr>
          <w:p w14:paraId="5E43BEF5">
            <w:pPr>
              <w:pStyle w:val="3"/>
              <w:jc w:val="center"/>
            </w:pPr>
            <w:r>
              <w:t>1</w:t>
            </w:r>
          </w:p>
        </w:tc>
        <w:tc>
          <w:tcPr>
            <w:tcW w:w="592" w:type="pct"/>
            <w:tcBorders>
              <w:top w:val="single" w:color="auto" w:sz="4" w:space="0"/>
              <w:left w:val="nil"/>
              <w:bottom w:val="single" w:color="auto" w:sz="4" w:space="0"/>
              <w:right w:val="single" w:color="auto" w:sz="4" w:space="0"/>
            </w:tcBorders>
            <w:shd w:val="clear" w:color="auto" w:fill="auto"/>
            <w:vAlign w:val="center"/>
          </w:tcPr>
          <w:p w14:paraId="1CB55465">
            <w:pPr>
              <w:pStyle w:val="3"/>
              <w:jc w:val="center"/>
            </w:pPr>
          </w:p>
        </w:tc>
      </w:tr>
      <w:tr w14:paraId="0F6296C1">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029A22D4">
            <w:pPr>
              <w:pStyle w:val="3"/>
              <w:jc w:val="center"/>
            </w:pPr>
            <w:r>
              <w:rPr>
                <w:rFonts w:hint="eastAsia"/>
              </w:rPr>
              <w:t>（3）</w:t>
            </w:r>
          </w:p>
        </w:tc>
        <w:tc>
          <w:tcPr>
            <w:tcW w:w="889" w:type="pct"/>
            <w:tcBorders>
              <w:top w:val="single" w:color="auto" w:sz="4" w:space="0"/>
              <w:left w:val="nil"/>
              <w:bottom w:val="single" w:color="auto" w:sz="4" w:space="0"/>
              <w:right w:val="single" w:color="auto" w:sz="4" w:space="0"/>
            </w:tcBorders>
            <w:shd w:val="clear" w:color="auto" w:fill="auto"/>
            <w:vAlign w:val="center"/>
          </w:tcPr>
          <w:p w14:paraId="39475E03">
            <w:pPr>
              <w:pStyle w:val="3"/>
              <w:jc w:val="center"/>
            </w:pPr>
            <w:r>
              <w:t>PAM</w:t>
            </w:r>
            <w:r>
              <w:rPr>
                <w:rFonts w:hint="eastAsia"/>
              </w:rPr>
              <w:t>（阴）</w:t>
            </w:r>
            <w:r>
              <w:t>加药</w:t>
            </w:r>
            <w:r>
              <w:rPr>
                <w:rFonts w:hint="eastAsia"/>
              </w:rPr>
              <w:t>装置</w:t>
            </w:r>
          </w:p>
        </w:tc>
        <w:tc>
          <w:tcPr>
            <w:tcW w:w="2169" w:type="pct"/>
            <w:tcBorders>
              <w:top w:val="single" w:color="auto" w:sz="4" w:space="0"/>
              <w:left w:val="nil"/>
              <w:bottom w:val="single" w:color="auto" w:sz="4" w:space="0"/>
              <w:right w:val="single" w:color="auto" w:sz="4" w:space="0"/>
            </w:tcBorders>
            <w:shd w:val="clear" w:color="auto" w:fill="auto"/>
            <w:vAlign w:val="center"/>
          </w:tcPr>
          <w:p w14:paraId="26A58859">
            <w:pPr>
              <w:pStyle w:val="3"/>
              <w:jc w:val="center"/>
            </w:pPr>
            <w:r>
              <w:rPr>
                <w:rFonts w:hint="eastAsia"/>
              </w:rPr>
              <w:t>PAM投加能力~50L/h</w:t>
            </w:r>
          </w:p>
        </w:tc>
        <w:tc>
          <w:tcPr>
            <w:tcW w:w="436" w:type="pct"/>
            <w:tcBorders>
              <w:top w:val="single" w:color="auto" w:sz="4" w:space="0"/>
              <w:left w:val="nil"/>
              <w:bottom w:val="single" w:color="auto" w:sz="4" w:space="0"/>
              <w:right w:val="single" w:color="auto" w:sz="4" w:space="0"/>
            </w:tcBorders>
            <w:shd w:val="clear" w:color="auto" w:fill="auto"/>
            <w:vAlign w:val="center"/>
          </w:tcPr>
          <w:p w14:paraId="0E8CEBE2">
            <w:pPr>
              <w:pStyle w:val="3"/>
              <w:jc w:val="center"/>
            </w:pPr>
            <w:r>
              <w:t>套</w:t>
            </w:r>
          </w:p>
        </w:tc>
        <w:tc>
          <w:tcPr>
            <w:tcW w:w="477" w:type="pct"/>
            <w:tcBorders>
              <w:top w:val="nil"/>
              <w:left w:val="nil"/>
              <w:bottom w:val="single" w:color="auto" w:sz="4" w:space="0"/>
              <w:right w:val="single" w:color="auto" w:sz="4" w:space="0"/>
            </w:tcBorders>
            <w:shd w:val="clear" w:color="auto" w:fill="auto"/>
            <w:vAlign w:val="center"/>
          </w:tcPr>
          <w:p w14:paraId="6D852A1E">
            <w:pPr>
              <w:pStyle w:val="3"/>
              <w:jc w:val="center"/>
            </w:pPr>
            <w:r>
              <w:t>1</w:t>
            </w:r>
          </w:p>
        </w:tc>
        <w:tc>
          <w:tcPr>
            <w:tcW w:w="592" w:type="pct"/>
            <w:tcBorders>
              <w:top w:val="single" w:color="auto" w:sz="4" w:space="0"/>
              <w:left w:val="nil"/>
              <w:bottom w:val="single" w:color="auto" w:sz="4" w:space="0"/>
              <w:right w:val="single" w:color="auto" w:sz="4" w:space="0"/>
            </w:tcBorders>
            <w:shd w:val="clear" w:color="auto" w:fill="auto"/>
            <w:vAlign w:val="center"/>
          </w:tcPr>
          <w:p w14:paraId="5E0F757C">
            <w:pPr>
              <w:pStyle w:val="3"/>
              <w:jc w:val="center"/>
            </w:pPr>
          </w:p>
        </w:tc>
      </w:tr>
      <w:tr w14:paraId="37DABF85">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532579EE">
            <w:pPr>
              <w:pStyle w:val="3"/>
              <w:jc w:val="center"/>
            </w:pPr>
            <w:r>
              <w:rPr>
                <w:rFonts w:hint="eastAsia"/>
              </w:rPr>
              <w:t>2.3</w:t>
            </w:r>
          </w:p>
        </w:tc>
        <w:tc>
          <w:tcPr>
            <w:tcW w:w="889" w:type="pct"/>
            <w:tcBorders>
              <w:top w:val="single" w:color="auto" w:sz="4" w:space="0"/>
              <w:left w:val="nil"/>
              <w:bottom w:val="single" w:color="auto" w:sz="4" w:space="0"/>
              <w:right w:val="single" w:color="auto" w:sz="4" w:space="0"/>
            </w:tcBorders>
            <w:shd w:val="clear" w:color="auto" w:fill="auto"/>
            <w:vAlign w:val="center"/>
          </w:tcPr>
          <w:p w14:paraId="43AFDC14">
            <w:pPr>
              <w:pStyle w:val="3"/>
              <w:jc w:val="center"/>
            </w:pPr>
            <w:r>
              <w:rPr>
                <w:rFonts w:hint="eastAsia"/>
              </w:rPr>
              <w:t>电仪控系统</w:t>
            </w:r>
          </w:p>
        </w:tc>
        <w:tc>
          <w:tcPr>
            <w:tcW w:w="2169" w:type="pct"/>
            <w:tcBorders>
              <w:top w:val="single" w:color="auto" w:sz="4" w:space="0"/>
              <w:left w:val="nil"/>
              <w:bottom w:val="single" w:color="auto" w:sz="4" w:space="0"/>
              <w:right w:val="single" w:color="auto" w:sz="4" w:space="0"/>
            </w:tcBorders>
            <w:shd w:val="clear" w:color="auto" w:fill="auto"/>
            <w:vAlign w:val="center"/>
          </w:tcPr>
          <w:p w14:paraId="70B93AF3">
            <w:pPr>
              <w:pStyle w:val="3"/>
              <w:jc w:val="center"/>
            </w:pPr>
            <w:r>
              <w:rPr>
                <w:rFonts w:hint="eastAsia"/>
                <w:color w:val="000000"/>
              </w:rPr>
              <w:t>包含如下：</w:t>
            </w:r>
          </w:p>
        </w:tc>
        <w:tc>
          <w:tcPr>
            <w:tcW w:w="436" w:type="pct"/>
            <w:tcBorders>
              <w:top w:val="single" w:color="auto" w:sz="4" w:space="0"/>
              <w:left w:val="nil"/>
              <w:bottom w:val="single" w:color="auto" w:sz="4" w:space="0"/>
              <w:right w:val="single" w:color="auto" w:sz="4" w:space="0"/>
            </w:tcBorders>
            <w:shd w:val="clear" w:color="auto" w:fill="auto"/>
            <w:vAlign w:val="center"/>
          </w:tcPr>
          <w:p w14:paraId="372C7291">
            <w:pPr>
              <w:pStyle w:val="3"/>
              <w:jc w:val="center"/>
            </w:pPr>
            <w:r>
              <w:t>套</w:t>
            </w:r>
          </w:p>
        </w:tc>
        <w:tc>
          <w:tcPr>
            <w:tcW w:w="477" w:type="pct"/>
            <w:tcBorders>
              <w:top w:val="nil"/>
              <w:left w:val="nil"/>
              <w:bottom w:val="single" w:color="auto" w:sz="4" w:space="0"/>
              <w:right w:val="single" w:color="auto" w:sz="4" w:space="0"/>
            </w:tcBorders>
            <w:shd w:val="clear" w:color="auto" w:fill="auto"/>
            <w:vAlign w:val="center"/>
          </w:tcPr>
          <w:p w14:paraId="1C526A74">
            <w:pPr>
              <w:pStyle w:val="3"/>
              <w:jc w:val="center"/>
            </w:pPr>
            <w:r>
              <w:t>1</w:t>
            </w:r>
          </w:p>
        </w:tc>
        <w:tc>
          <w:tcPr>
            <w:tcW w:w="592" w:type="pct"/>
            <w:tcBorders>
              <w:top w:val="single" w:color="auto" w:sz="4" w:space="0"/>
              <w:left w:val="nil"/>
              <w:bottom w:val="single" w:color="auto" w:sz="4" w:space="0"/>
              <w:right w:val="single" w:color="auto" w:sz="4" w:space="0"/>
            </w:tcBorders>
            <w:shd w:val="clear" w:color="auto" w:fill="auto"/>
            <w:vAlign w:val="center"/>
          </w:tcPr>
          <w:p w14:paraId="2DD466EA">
            <w:pPr>
              <w:pStyle w:val="3"/>
              <w:jc w:val="center"/>
            </w:pPr>
          </w:p>
        </w:tc>
      </w:tr>
      <w:tr w14:paraId="4BCD0715">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6D1DA4F1">
            <w:pPr>
              <w:pStyle w:val="3"/>
              <w:jc w:val="center"/>
            </w:pPr>
            <w:r>
              <w:rPr>
                <w:rFonts w:hint="eastAsia"/>
              </w:rPr>
              <w:t>（1）</w:t>
            </w:r>
          </w:p>
        </w:tc>
        <w:tc>
          <w:tcPr>
            <w:tcW w:w="889" w:type="pct"/>
            <w:tcBorders>
              <w:top w:val="single" w:color="auto" w:sz="4" w:space="0"/>
              <w:left w:val="nil"/>
              <w:bottom w:val="single" w:color="auto" w:sz="4" w:space="0"/>
              <w:right w:val="single" w:color="auto" w:sz="4" w:space="0"/>
            </w:tcBorders>
            <w:shd w:val="clear" w:color="auto" w:fill="auto"/>
            <w:vAlign w:val="center"/>
          </w:tcPr>
          <w:p w14:paraId="7356FD69">
            <w:pPr>
              <w:pStyle w:val="3"/>
              <w:jc w:val="center"/>
            </w:pPr>
            <w:r>
              <w:rPr>
                <w:rFonts w:hint="eastAsia"/>
              </w:rPr>
              <w:t>电控柜</w:t>
            </w:r>
          </w:p>
        </w:tc>
        <w:tc>
          <w:tcPr>
            <w:tcW w:w="2169" w:type="pct"/>
            <w:tcBorders>
              <w:top w:val="single" w:color="auto" w:sz="4" w:space="0"/>
              <w:left w:val="nil"/>
              <w:bottom w:val="single" w:color="auto" w:sz="4" w:space="0"/>
              <w:right w:val="single" w:color="auto" w:sz="4" w:space="0"/>
            </w:tcBorders>
            <w:shd w:val="clear" w:color="auto" w:fill="auto"/>
            <w:vAlign w:val="center"/>
          </w:tcPr>
          <w:p w14:paraId="6B852473">
            <w:pPr>
              <w:pStyle w:val="3"/>
              <w:jc w:val="center"/>
            </w:pPr>
          </w:p>
        </w:tc>
        <w:tc>
          <w:tcPr>
            <w:tcW w:w="436" w:type="pct"/>
            <w:tcBorders>
              <w:top w:val="single" w:color="auto" w:sz="4" w:space="0"/>
              <w:left w:val="nil"/>
              <w:bottom w:val="single" w:color="auto" w:sz="4" w:space="0"/>
              <w:right w:val="single" w:color="auto" w:sz="4" w:space="0"/>
            </w:tcBorders>
            <w:shd w:val="clear" w:color="auto" w:fill="auto"/>
            <w:vAlign w:val="center"/>
          </w:tcPr>
          <w:p w14:paraId="1C2381A6">
            <w:pPr>
              <w:pStyle w:val="3"/>
              <w:jc w:val="center"/>
            </w:pPr>
            <w:r>
              <w:rPr>
                <w:rFonts w:hint="eastAsia"/>
              </w:rPr>
              <w:t>面</w:t>
            </w:r>
          </w:p>
        </w:tc>
        <w:tc>
          <w:tcPr>
            <w:tcW w:w="477" w:type="pct"/>
            <w:tcBorders>
              <w:top w:val="nil"/>
              <w:left w:val="nil"/>
              <w:bottom w:val="single" w:color="auto" w:sz="4" w:space="0"/>
              <w:right w:val="single" w:color="auto" w:sz="4" w:space="0"/>
            </w:tcBorders>
            <w:shd w:val="clear" w:color="auto" w:fill="auto"/>
            <w:vAlign w:val="center"/>
          </w:tcPr>
          <w:p w14:paraId="27BD88E9">
            <w:pPr>
              <w:pStyle w:val="3"/>
              <w:jc w:val="center"/>
            </w:pPr>
            <w:r>
              <w:rPr>
                <w:rFonts w:hint="eastAsia"/>
              </w:rPr>
              <w:t>1</w:t>
            </w:r>
          </w:p>
        </w:tc>
        <w:tc>
          <w:tcPr>
            <w:tcW w:w="592" w:type="pct"/>
            <w:tcBorders>
              <w:top w:val="single" w:color="auto" w:sz="4" w:space="0"/>
              <w:left w:val="nil"/>
              <w:bottom w:val="single" w:color="auto" w:sz="4" w:space="0"/>
              <w:right w:val="single" w:color="auto" w:sz="4" w:space="0"/>
            </w:tcBorders>
            <w:shd w:val="clear" w:color="auto" w:fill="auto"/>
            <w:vAlign w:val="center"/>
          </w:tcPr>
          <w:p w14:paraId="2AE2BB97">
            <w:pPr>
              <w:pStyle w:val="3"/>
              <w:jc w:val="center"/>
            </w:pPr>
          </w:p>
        </w:tc>
      </w:tr>
      <w:tr w14:paraId="50D33DFB">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73153B56">
            <w:pPr>
              <w:pStyle w:val="3"/>
              <w:jc w:val="center"/>
            </w:pPr>
            <w:r>
              <w:rPr>
                <w:rFonts w:hint="eastAsia"/>
              </w:rPr>
              <w:t>（2）</w:t>
            </w:r>
          </w:p>
        </w:tc>
        <w:tc>
          <w:tcPr>
            <w:tcW w:w="889" w:type="pct"/>
            <w:tcBorders>
              <w:top w:val="single" w:color="auto" w:sz="4" w:space="0"/>
              <w:left w:val="nil"/>
              <w:bottom w:val="single" w:color="auto" w:sz="4" w:space="0"/>
              <w:right w:val="single" w:color="auto" w:sz="4" w:space="0"/>
            </w:tcBorders>
            <w:shd w:val="clear" w:color="auto" w:fill="auto"/>
            <w:vAlign w:val="center"/>
          </w:tcPr>
          <w:p w14:paraId="1B4FAC2D">
            <w:pPr>
              <w:pStyle w:val="3"/>
              <w:jc w:val="center"/>
            </w:pPr>
            <w:r>
              <w:rPr>
                <w:rFonts w:hint="eastAsia"/>
              </w:rPr>
              <w:t>就地操作箱</w:t>
            </w:r>
          </w:p>
        </w:tc>
        <w:tc>
          <w:tcPr>
            <w:tcW w:w="2169" w:type="pct"/>
            <w:tcBorders>
              <w:top w:val="single" w:color="auto" w:sz="4" w:space="0"/>
              <w:left w:val="nil"/>
              <w:bottom w:val="single" w:color="auto" w:sz="4" w:space="0"/>
              <w:right w:val="single" w:color="auto" w:sz="4" w:space="0"/>
            </w:tcBorders>
            <w:shd w:val="clear" w:color="auto" w:fill="auto"/>
            <w:vAlign w:val="center"/>
          </w:tcPr>
          <w:p w14:paraId="5B58CA32">
            <w:pPr>
              <w:pStyle w:val="3"/>
              <w:jc w:val="center"/>
            </w:pPr>
          </w:p>
        </w:tc>
        <w:tc>
          <w:tcPr>
            <w:tcW w:w="436" w:type="pct"/>
            <w:tcBorders>
              <w:top w:val="single" w:color="auto" w:sz="4" w:space="0"/>
              <w:left w:val="nil"/>
              <w:bottom w:val="single" w:color="auto" w:sz="4" w:space="0"/>
              <w:right w:val="single" w:color="auto" w:sz="4" w:space="0"/>
            </w:tcBorders>
            <w:shd w:val="clear" w:color="auto" w:fill="auto"/>
            <w:vAlign w:val="center"/>
          </w:tcPr>
          <w:p w14:paraId="746F9A8B">
            <w:pPr>
              <w:pStyle w:val="3"/>
              <w:jc w:val="center"/>
            </w:pPr>
            <w:r>
              <w:rPr>
                <w:rFonts w:hint="eastAsia"/>
              </w:rPr>
              <w:t>面</w:t>
            </w:r>
          </w:p>
        </w:tc>
        <w:tc>
          <w:tcPr>
            <w:tcW w:w="477" w:type="pct"/>
            <w:tcBorders>
              <w:top w:val="nil"/>
              <w:left w:val="nil"/>
              <w:bottom w:val="single" w:color="auto" w:sz="4" w:space="0"/>
              <w:right w:val="single" w:color="auto" w:sz="4" w:space="0"/>
            </w:tcBorders>
            <w:shd w:val="clear" w:color="auto" w:fill="auto"/>
            <w:vAlign w:val="center"/>
          </w:tcPr>
          <w:p w14:paraId="64FC7CDF">
            <w:pPr>
              <w:pStyle w:val="3"/>
              <w:jc w:val="center"/>
            </w:pPr>
            <w:r>
              <w:rPr>
                <w:rFonts w:hint="eastAsia"/>
              </w:rPr>
              <w:t>3</w:t>
            </w:r>
          </w:p>
        </w:tc>
        <w:tc>
          <w:tcPr>
            <w:tcW w:w="592" w:type="pct"/>
            <w:tcBorders>
              <w:top w:val="single" w:color="auto" w:sz="4" w:space="0"/>
              <w:left w:val="nil"/>
              <w:bottom w:val="single" w:color="auto" w:sz="4" w:space="0"/>
              <w:right w:val="single" w:color="auto" w:sz="4" w:space="0"/>
            </w:tcBorders>
            <w:shd w:val="clear" w:color="auto" w:fill="auto"/>
            <w:vAlign w:val="center"/>
          </w:tcPr>
          <w:p w14:paraId="3A94D912">
            <w:pPr>
              <w:pStyle w:val="3"/>
              <w:jc w:val="center"/>
            </w:pPr>
          </w:p>
        </w:tc>
      </w:tr>
      <w:tr w14:paraId="50963A27">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62221148">
            <w:pPr>
              <w:pStyle w:val="3"/>
              <w:jc w:val="center"/>
            </w:pPr>
            <w:r>
              <w:rPr>
                <w:rFonts w:hint="eastAsia"/>
              </w:rPr>
              <w:t>（3）</w:t>
            </w:r>
          </w:p>
        </w:tc>
        <w:tc>
          <w:tcPr>
            <w:tcW w:w="889" w:type="pct"/>
            <w:tcBorders>
              <w:top w:val="single" w:color="auto" w:sz="4" w:space="0"/>
              <w:left w:val="nil"/>
              <w:bottom w:val="single" w:color="auto" w:sz="4" w:space="0"/>
              <w:right w:val="single" w:color="auto" w:sz="4" w:space="0"/>
            </w:tcBorders>
            <w:shd w:val="clear" w:color="auto" w:fill="auto"/>
            <w:vAlign w:val="center"/>
          </w:tcPr>
          <w:p w14:paraId="30695504">
            <w:pPr>
              <w:pStyle w:val="3"/>
              <w:jc w:val="center"/>
            </w:pPr>
            <w:r>
              <w:rPr>
                <w:rFonts w:hint="eastAsia"/>
              </w:rPr>
              <w:t>仪表</w:t>
            </w:r>
          </w:p>
        </w:tc>
        <w:tc>
          <w:tcPr>
            <w:tcW w:w="2169" w:type="pct"/>
            <w:tcBorders>
              <w:top w:val="single" w:color="auto" w:sz="4" w:space="0"/>
              <w:left w:val="nil"/>
              <w:bottom w:val="single" w:color="auto" w:sz="4" w:space="0"/>
              <w:right w:val="single" w:color="auto" w:sz="4" w:space="0"/>
            </w:tcBorders>
            <w:shd w:val="clear" w:color="auto" w:fill="auto"/>
            <w:vAlign w:val="center"/>
          </w:tcPr>
          <w:p w14:paraId="0699AA9B">
            <w:pPr>
              <w:pStyle w:val="3"/>
              <w:jc w:val="center"/>
            </w:pPr>
            <w:r>
              <w:rPr>
                <w:rFonts w:hint="eastAsia"/>
              </w:rPr>
              <w:t>包含以下设备：智能电磁流量计、便携式溶氧仪、在线浊度计等</w:t>
            </w:r>
          </w:p>
        </w:tc>
        <w:tc>
          <w:tcPr>
            <w:tcW w:w="436" w:type="pct"/>
            <w:tcBorders>
              <w:top w:val="single" w:color="auto" w:sz="4" w:space="0"/>
              <w:left w:val="nil"/>
              <w:bottom w:val="single" w:color="auto" w:sz="4" w:space="0"/>
              <w:right w:val="single" w:color="auto" w:sz="4" w:space="0"/>
            </w:tcBorders>
            <w:shd w:val="clear" w:color="auto" w:fill="auto"/>
            <w:vAlign w:val="center"/>
          </w:tcPr>
          <w:p w14:paraId="741450AB">
            <w:pPr>
              <w:pStyle w:val="3"/>
              <w:jc w:val="center"/>
            </w:pPr>
          </w:p>
        </w:tc>
        <w:tc>
          <w:tcPr>
            <w:tcW w:w="477" w:type="pct"/>
            <w:tcBorders>
              <w:top w:val="nil"/>
              <w:left w:val="nil"/>
              <w:bottom w:val="single" w:color="auto" w:sz="4" w:space="0"/>
              <w:right w:val="single" w:color="auto" w:sz="4" w:space="0"/>
            </w:tcBorders>
            <w:shd w:val="clear" w:color="auto" w:fill="auto"/>
            <w:vAlign w:val="center"/>
          </w:tcPr>
          <w:p w14:paraId="1265BB00">
            <w:pPr>
              <w:pStyle w:val="3"/>
              <w:jc w:val="center"/>
            </w:pPr>
          </w:p>
        </w:tc>
        <w:tc>
          <w:tcPr>
            <w:tcW w:w="592" w:type="pct"/>
            <w:tcBorders>
              <w:top w:val="single" w:color="auto" w:sz="4" w:space="0"/>
              <w:left w:val="nil"/>
              <w:bottom w:val="single" w:color="auto" w:sz="4" w:space="0"/>
              <w:right w:val="single" w:color="auto" w:sz="4" w:space="0"/>
            </w:tcBorders>
            <w:shd w:val="clear" w:color="auto" w:fill="auto"/>
            <w:vAlign w:val="center"/>
          </w:tcPr>
          <w:p w14:paraId="738790B8">
            <w:pPr>
              <w:pStyle w:val="3"/>
              <w:jc w:val="center"/>
            </w:pPr>
          </w:p>
        </w:tc>
      </w:tr>
      <w:tr w14:paraId="7936A699">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787D1EC7">
            <w:pPr>
              <w:pStyle w:val="3"/>
              <w:jc w:val="center"/>
            </w:pPr>
            <w:r>
              <w:rPr>
                <w:rFonts w:hint="eastAsia"/>
              </w:rPr>
              <w:t>（4）</w:t>
            </w:r>
          </w:p>
        </w:tc>
        <w:tc>
          <w:tcPr>
            <w:tcW w:w="889" w:type="pct"/>
            <w:tcBorders>
              <w:top w:val="single" w:color="auto" w:sz="4" w:space="0"/>
              <w:left w:val="nil"/>
              <w:bottom w:val="single" w:color="auto" w:sz="4" w:space="0"/>
              <w:right w:val="single" w:color="auto" w:sz="4" w:space="0"/>
            </w:tcBorders>
            <w:shd w:val="clear" w:color="auto" w:fill="auto"/>
            <w:vAlign w:val="center"/>
          </w:tcPr>
          <w:p w14:paraId="11AFB91A">
            <w:pPr>
              <w:pStyle w:val="3"/>
              <w:jc w:val="center"/>
            </w:pPr>
            <w:r>
              <w:rPr>
                <w:rFonts w:hint="eastAsia"/>
              </w:rPr>
              <w:t>照明</w:t>
            </w:r>
          </w:p>
        </w:tc>
        <w:tc>
          <w:tcPr>
            <w:tcW w:w="2169" w:type="pct"/>
            <w:tcBorders>
              <w:top w:val="single" w:color="auto" w:sz="4" w:space="0"/>
              <w:left w:val="nil"/>
              <w:bottom w:val="single" w:color="auto" w:sz="4" w:space="0"/>
              <w:right w:val="single" w:color="auto" w:sz="4" w:space="0"/>
            </w:tcBorders>
            <w:shd w:val="clear" w:color="auto" w:fill="auto"/>
            <w:vAlign w:val="center"/>
          </w:tcPr>
          <w:p w14:paraId="19F62037">
            <w:pPr>
              <w:pStyle w:val="3"/>
              <w:jc w:val="center"/>
            </w:pPr>
          </w:p>
        </w:tc>
        <w:tc>
          <w:tcPr>
            <w:tcW w:w="436" w:type="pct"/>
            <w:tcBorders>
              <w:top w:val="single" w:color="auto" w:sz="4" w:space="0"/>
              <w:left w:val="nil"/>
              <w:bottom w:val="single" w:color="auto" w:sz="4" w:space="0"/>
              <w:right w:val="single" w:color="auto" w:sz="4" w:space="0"/>
            </w:tcBorders>
            <w:shd w:val="clear" w:color="auto" w:fill="auto"/>
            <w:vAlign w:val="center"/>
          </w:tcPr>
          <w:p w14:paraId="1ED5D11E">
            <w:pPr>
              <w:pStyle w:val="3"/>
              <w:jc w:val="center"/>
            </w:pPr>
            <w:r>
              <w:rPr>
                <w:rFonts w:hint="eastAsia"/>
              </w:rPr>
              <w:t>项</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3F0E9571">
            <w:pPr>
              <w:pStyle w:val="3"/>
              <w:jc w:val="center"/>
            </w:pPr>
            <w:r>
              <w:t>1</w:t>
            </w:r>
          </w:p>
        </w:tc>
        <w:tc>
          <w:tcPr>
            <w:tcW w:w="592" w:type="pct"/>
            <w:tcBorders>
              <w:top w:val="single" w:color="auto" w:sz="4" w:space="0"/>
              <w:left w:val="nil"/>
              <w:bottom w:val="single" w:color="auto" w:sz="4" w:space="0"/>
              <w:right w:val="single" w:color="auto" w:sz="4" w:space="0"/>
            </w:tcBorders>
            <w:shd w:val="clear" w:color="auto" w:fill="auto"/>
            <w:vAlign w:val="center"/>
          </w:tcPr>
          <w:p w14:paraId="3509B2C5">
            <w:pPr>
              <w:pStyle w:val="3"/>
              <w:jc w:val="center"/>
            </w:pPr>
          </w:p>
        </w:tc>
      </w:tr>
      <w:tr w14:paraId="3EB014F6">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5D5B71CD">
            <w:pPr>
              <w:pStyle w:val="3"/>
              <w:jc w:val="center"/>
            </w:pPr>
            <w:r>
              <w:t>2.4</w:t>
            </w:r>
          </w:p>
        </w:tc>
        <w:tc>
          <w:tcPr>
            <w:tcW w:w="889" w:type="pct"/>
            <w:tcBorders>
              <w:top w:val="single" w:color="auto" w:sz="4" w:space="0"/>
              <w:left w:val="nil"/>
              <w:bottom w:val="single" w:color="auto" w:sz="4" w:space="0"/>
              <w:right w:val="single" w:color="auto" w:sz="4" w:space="0"/>
            </w:tcBorders>
            <w:shd w:val="clear" w:color="auto" w:fill="auto"/>
            <w:vAlign w:val="center"/>
          </w:tcPr>
          <w:p w14:paraId="1A337F3E">
            <w:pPr>
              <w:pStyle w:val="3"/>
              <w:jc w:val="center"/>
            </w:pPr>
            <w:r>
              <w:rPr>
                <w:rFonts w:hint="eastAsia"/>
              </w:rPr>
              <w:t>集装箱</w:t>
            </w:r>
          </w:p>
        </w:tc>
        <w:tc>
          <w:tcPr>
            <w:tcW w:w="2169" w:type="pct"/>
            <w:tcBorders>
              <w:top w:val="single" w:color="auto" w:sz="4" w:space="0"/>
              <w:left w:val="nil"/>
              <w:bottom w:val="single" w:color="auto" w:sz="4" w:space="0"/>
              <w:right w:val="single" w:color="auto" w:sz="4" w:space="0"/>
            </w:tcBorders>
            <w:shd w:val="clear" w:color="auto" w:fill="auto"/>
            <w:vAlign w:val="center"/>
          </w:tcPr>
          <w:p w14:paraId="05FAA4B3">
            <w:pPr>
              <w:pStyle w:val="3"/>
              <w:jc w:val="center"/>
            </w:pPr>
            <w:r>
              <w:rPr>
                <w:rFonts w:hint="eastAsia" w:asciiTheme="minorEastAsia" w:hAnsiTheme="minorEastAsia"/>
                <w:szCs w:val="24"/>
              </w:rPr>
              <w:t>加药系统放置于集装箱内</w:t>
            </w:r>
          </w:p>
        </w:tc>
        <w:tc>
          <w:tcPr>
            <w:tcW w:w="436" w:type="pct"/>
            <w:tcBorders>
              <w:top w:val="single" w:color="auto" w:sz="4" w:space="0"/>
              <w:left w:val="nil"/>
              <w:bottom w:val="single" w:color="auto" w:sz="4" w:space="0"/>
              <w:right w:val="single" w:color="auto" w:sz="4" w:space="0"/>
            </w:tcBorders>
            <w:shd w:val="clear" w:color="auto" w:fill="auto"/>
            <w:vAlign w:val="center"/>
          </w:tcPr>
          <w:p w14:paraId="136F47B6">
            <w:pPr>
              <w:pStyle w:val="3"/>
              <w:jc w:val="center"/>
            </w:pPr>
            <w:r>
              <w:t>台</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453E2765">
            <w:pPr>
              <w:pStyle w:val="3"/>
              <w:jc w:val="center"/>
            </w:pPr>
            <w:r>
              <w:t>1</w:t>
            </w:r>
          </w:p>
        </w:tc>
        <w:tc>
          <w:tcPr>
            <w:tcW w:w="592" w:type="pct"/>
            <w:tcBorders>
              <w:top w:val="single" w:color="auto" w:sz="4" w:space="0"/>
              <w:left w:val="nil"/>
              <w:bottom w:val="single" w:color="auto" w:sz="4" w:space="0"/>
              <w:right w:val="single" w:color="auto" w:sz="4" w:space="0"/>
            </w:tcBorders>
            <w:shd w:val="clear" w:color="auto" w:fill="auto"/>
            <w:vAlign w:val="center"/>
          </w:tcPr>
          <w:p w14:paraId="76C3A205">
            <w:pPr>
              <w:pStyle w:val="3"/>
              <w:jc w:val="center"/>
            </w:pPr>
          </w:p>
        </w:tc>
      </w:tr>
      <w:tr w14:paraId="38750023">
        <w:tblPrEx>
          <w:tblCellMar>
            <w:top w:w="0" w:type="dxa"/>
            <w:left w:w="108" w:type="dxa"/>
            <w:bottom w:w="0" w:type="dxa"/>
            <w:right w:w="108" w:type="dxa"/>
          </w:tblCellMar>
        </w:tblPrEx>
        <w:trPr>
          <w:jc w:val="center"/>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4F772260">
            <w:pPr>
              <w:pStyle w:val="3"/>
              <w:jc w:val="center"/>
            </w:pPr>
            <w:r>
              <w:rPr>
                <w:rFonts w:hint="eastAsia"/>
              </w:rPr>
              <w:t>2</w:t>
            </w:r>
            <w:r>
              <w:t>.5</w:t>
            </w:r>
          </w:p>
        </w:tc>
        <w:tc>
          <w:tcPr>
            <w:tcW w:w="889" w:type="pct"/>
            <w:tcBorders>
              <w:top w:val="single" w:color="auto" w:sz="4" w:space="0"/>
              <w:left w:val="nil"/>
              <w:bottom w:val="single" w:color="auto" w:sz="4" w:space="0"/>
              <w:right w:val="single" w:color="auto" w:sz="4" w:space="0"/>
            </w:tcBorders>
            <w:shd w:val="clear" w:color="auto" w:fill="auto"/>
            <w:vAlign w:val="center"/>
          </w:tcPr>
          <w:p w14:paraId="332CB826">
            <w:pPr>
              <w:pStyle w:val="3"/>
              <w:jc w:val="center"/>
            </w:pPr>
            <w:r>
              <w:rPr>
                <w:rFonts w:hint="eastAsia"/>
              </w:rPr>
              <w:t>管阀及安全防护</w:t>
            </w:r>
          </w:p>
        </w:tc>
        <w:tc>
          <w:tcPr>
            <w:tcW w:w="2169" w:type="pct"/>
            <w:tcBorders>
              <w:top w:val="single" w:color="auto" w:sz="4" w:space="0"/>
              <w:left w:val="nil"/>
              <w:bottom w:val="single" w:color="auto" w:sz="4" w:space="0"/>
              <w:right w:val="single" w:color="auto" w:sz="4" w:space="0"/>
            </w:tcBorders>
            <w:shd w:val="clear" w:color="auto" w:fill="auto"/>
            <w:vAlign w:val="center"/>
          </w:tcPr>
          <w:p w14:paraId="48A1A21B">
            <w:pPr>
              <w:pStyle w:val="3"/>
              <w:jc w:val="center"/>
            </w:pPr>
            <w:r>
              <w:rPr>
                <w:rFonts w:hint="eastAsia" w:asciiTheme="minorEastAsia" w:hAnsiTheme="minorEastAsia"/>
                <w:szCs w:val="24"/>
              </w:rPr>
              <w:t>项目安装所需的管、阀及必要的安全防护措施</w:t>
            </w:r>
          </w:p>
        </w:tc>
        <w:tc>
          <w:tcPr>
            <w:tcW w:w="436" w:type="pct"/>
            <w:tcBorders>
              <w:top w:val="single" w:color="auto" w:sz="4" w:space="0"/>
              <w:left w:val="nil"/>
              <w:bottom w:val="single" w:color="auto" w:sz="4" w:space="0"/>
              <w:right w:val="single" w:color="auto" w:sz="4" w:space="0"/>
            </w:tcBorders>
            <w:shd w:val="clear" w:color="auto" w:fill="auto"/>
            <w:vAlign w:val="center"/>
          </w:tcPr>
          <w:p w14:paraId="7CCF9E35">
            <w:pPr>
              <w:pStyle w:val="3"/>
              <w:jc w:val="center"/>
            </w:pPr>
            <w:r>
              <w:t>套</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629CD9B2">
            <w:pPr>
              <w:pStyle w:val="3"/>
              <w:jc w:val="center"/>
            </w:pPr>
            <w:r>
              <w:t>1</w:t>
            </w:r>
          </w:p>
        </w:tc>
        <w:tc>
          <w:tcPr>
            <w:tcW w:w="592" w:type="pct"/>
            <w:tcBorders>
              <w:top w:val="single" w:color="auto" w:sz="4" w:space="0"/>
              <w:left w:val="nil"/>
              <w:bottom w:val="single" w:color="auto" w:sz="4" w:space="0"/>
              <w:right w:val="single" w:color="auto" w:sz="4" w:space="0"/>
            </w:tcBorders>
            <w:shd w:val="clear" w:color="auto" w:fill="auto"/>
            <w:vAlign w:val="center"/>
          </w:tcPr>
          <w:p w14:paraId="45A1CC4E">
            <w:pPr>
              <w:pStyle w:val="3"/>
              <w:jc w:val="center"/>
            </w:pPr>
          </w:p>
        </w:tc>
      </w:tr>
    </w:tbl>
    <w:p w14:paraId="7D44B0E5">
      <w:pPr>
        <w:widowControl/>
        <w:spacing w:line="360" w:lineRule="auto"/>
        <w:jc w:val="left"/>
        <w:rPr>
          <w:rFonts w:ascii="宋体" w:hAnsi="宋体" w:cs="宋体"/>
          <w:color w:val="000000"/>
          <w:sz w:val="36"/>
          <w:szCs w:val="36"/>
        </w:rPr>
        <w:sectPr>
          <w:pgSz w:w="11906" w:h="16838"/>
          <w:pgMar w:top="1440" w:right="850" w:bottom="1440" w:left="850" w:header="850" w:footer="992" w:gutter="0"/>
          <w:cols w:space="0" w:num="1"/>
          <w:docGrid w:linePitch="360" w:charSpace="0"/>
        </w:sectPr>
      </w:pPr>
    </w:p>
    <w:p w14:paraId="7CE30E06">
      <w:pPr>
        <w:spacing w:line="360" w:lineRule="auto"/>
        <w:ind w:firstLine="472" w:firstLineChars="196"/>
        <w:rPr>
          <w:rFonts w:ascii="宋体" w:hAnsi="宋体" w:cs="宋体"/>
          <w:b/>
          <w:sz w:val="24"/>
          <w:szCs w:val="28"/>
        </w:rPr>
      </w:pPr>
      <w:r>
        <w:rPr>
          <w:rFonts w:hint="eastAsia" w:ascii="宋体" w:hAnsi="宋体" w:eastAsia="宋体" w:cs="宋体"/>
          <w:b/>
          <w:sz w:val="24"/>
          <w:szCs w:val="28"/>
        </w:rPr>
        <w:t>四、报价说明：</w:t>
      </w:r>
    </w:p>
    <w:p w14:paraId="72DEC0BB">
      <w:pPr>
        <w:pStyle w:val="14"/>
        <w:spacing w:line="360" w:lineRule="auto"/>
        <w:ind w:firstLine="600" w:firstLineChars="250"/>
        <w:rPr>
          <w:rFonts w:ascii="宋体" w:hAnsi="宋体"/>
          <w:sz w:val="24"/>
          <w:szCs w:val="21"/>
        </w:rPr>
      </w:pPr>
      <w:r>
        <w:rPr>
          <w:rFonts w:hint="eastAsia" w:ascii="宋体" w:hAnsi="宋体" w:cs="宋体"/>
          <w:sz w:val="24"/>
          <w:szCs w:val="28"/>
        </w:rPr>
        <w:t>招标方</w:t>
      </w:r>
      <w:r>
        <w:rPr>
          <w:rFonts w:hint="eastAsia" w:ascii="宋体" w:hAnsi="宋体"/>
          <w:sz w:val="24"/>
          <w:szCs w:val="21"/>
        </w:rPr>
        <w:t>通过购买污水处理服务的方式，向</w:t>
      </w:r>
      <w:r>
        <w:rPr>
          <w:rFonts w:hint="eastAsia" w:ascii="宋体" w:hAnsi="宋体" w:cs="宋体"/>
          <w:sz w:val="24"/>
          <w:szCs w:val="28"/>
        </w:rPr>
        <w:t>中标方</w:t>
      </w:r>
      <w:r>
        <w:rPr>
          <w:rFonts w:hint="eastAsia" w:ascii="宋体" w:hAnsi="宋体"/>
          <w:sz w:val="24"/>
          <w:szCs w:val="21"/>
        </w:rPr>
        <w:t>购买水质处理服务。</w:t>
      </w:r>
    </w:p>
    <w:p w14:paraId="4E6A7B38">
      <w:pPr>
        <w:spacing w:line="360" w:lineRule="auto"/>
        <w:ind w:firstLine="480" w:firstLineChars="200"/>
        <w:rPr>
          <w:rFonts w:ascii="宋体" w:hAnsi="宋体"/>
          <w:sz w:val="24"/>
          <w:szCs w:val="21"/>
        </w:rPr>
      </w:pPr>
      <w:r>
        <w:rPr>
          <w:rFonts w:hint="eastAsia" w:ascii="宋体" w:hAnsi="宋体"/>
          <w:sz w:val="24"/>
          <w:szCs w:val="21"/>
        </w:rPr>
        <w:t xml:space="preserve"> 本项目采用</w:t>
      </w:r>
      <w:r>
        <w:rPr>
          <w:rFonts w:ascii="宋体" w:hAnsi="宋体"/>
          <w:sz w:val="24"/>
          <w:szCs w:val="21"/>
        </w:rPr>
        <w:t>固定总价</w:t>
      </w:r>
      <w:r>
        <w:rPr>
          <w:rFonts w:hint="eastAsia" w:ascii="宋体" w:hAnsi="宋体"/>
          <w:sz w:val="24"/>
          <w:szCs w:val="21"/>
        </w:rPr>
        <w:t>方式</w:t>
      </w:r>
      <w:r>
        <w:rPr>
          <w:rFonts w:ascii="宋体" w:hAnsi="宋体"/>
          <w:sz w:val="24"/>
          <w:szCs w:val="21"/>
        </w:rPr>
        <w:t>。投标单位应确认</w:t>
      </w:r>
      <w:r>
        <w:rPr>
          <w:rFonts w:hint="eastAsia" w:ascii="宋体" w:hAnsi="宋体"/>
          <w:sz w:val="24"/>
          <w:szCs w:val="21"/>
        </w:rPr>
        <w:t>水量</w:t>
      </w:r>
      <w:r>
        <w:rPr>
          <w:rFonts w:ascii="宋体" w:hAnsi="宋体"/>
          <w:sz w:val="24"/>
          <w:szCs w:val="21"/>
        </w:rPr>
        <w:t>的准确性，并充分考虑各类市场风险和国家政策性调整风险系数，并计入总报价，今后总价不作调整。</w:t>
      </w:r>
    </w:p>
    <w:p w14:paraId="1CE0DBBC">
      <w:pPr>
        <w:spacing w:line="360" w:lineRule="auto"/>
        <w:ind w:firstLine="480"/>
        <w:rPr>
          <w:rFonts w:ascii="宋体" w:hAnsi="宋体" w:cs="宋体"/>
          <w:color w:val="FF0000"/>
          <w:sz w:val="24"/>
          <w:szCs w:val="28"/>
          <w:highlight w:val="yellow"/>
        </w:rPr>
      </w:pPr>
      <w:r>
        <w:rPr>
          <w:rFonts w:hint="eastAsia" w:hAnsi="宋体"/>
          <w:sz w:val="24"/>
        </w:rPr>
        <w:t>本项目设置最高限价，高于最高限价的投标报价将作为废标。</w:t>
      </w:r>
    </w:p>
    <w:p w14:paraId="5E477536">
      <w:pPr>
        <w:spacing w:line="360" w:lineRule="auto"/>
        <w:ind w:firstLine="482"/>
        <w:rPr>
          <w:rFonts w:ascii="宋体" w:hAnsi="宋体" w:cs="宋体"/>
          <w:b/>
          <w:sz w:val="24"/>
          <w:szCs w:val="28"/>
        </w:rPr>
      </w:pPr>
      <w:r>
        <w:rPr>
          <w:rFonts w:hint="eastAsia" w:ascii="宋体" w:hAnsi="宋体" w:eastAsia="宋体" w:cs="宋体"/>
          <w:b/>
          <w:sz w:val="24"/>
          <w:szCs w:val="28"/>
        </w:rPr>
        <w:t xml:space="preserve">五、支付方式 </w:t>
      </w:r>
    </w:p>
    <w:p w14:paraId="02935A8C">
      <w:pPr>
        <w:spacing w:line="360" w:lineRule="auto"/>
        <w:ind w:firstLine="480"/>
        <w:rPr>
          <w:rFonts w:ascii="宋体" w:hAnsi="宋体" w:eastAsia="宋体" w:cs="宋体"/>
          <w:sz w:val="24"/>
          <w:szCs w:val="28"/>
        </w:rPr>
      </w:pPr>
      <w:r>
        <w:rPr>
          <w:rFonts w:hint="eastAsia" w:ascii="宋体" w:hAnsi="宋体" w:eastAsia="宋体" w:cs="宋体"/>
          <w:sz w:val="24"/>
          <w:szCs w:val="28"/>
        </w:rPr>
        <w:t>处理设施按约定之日正式运营后，双方按下述方法计算与支付污水处理服务费：</w:t>
      </w:r>
    </w:p>
    <w:p w14:paraId="2EB9FFBE">
      <w:pPr>
        <w:spacing w:line="360" w:lineRule="auto"/>
        <w:ind w:firstLine="480"/>
        <w:rPr>
          <w:rFonts w:ascii="宋体" w:hAnsi="宋体" w:eastAsia="宋体" w:cs="宋体"/>
          <w:sz w:val="24"/>
          <w:szCs w:val="28"/>
        </w:rPr>
      </w:pPr>
      <w:r>
        <w:rPr>
          <w:rFonts w:hint="eastAsia" w:ascii="宋体" w:hAnsi="宋体" w:eastAsia="宋体" w:cs="宋体"/>
          <w:sz w:val="24"/>
          <w:szCs w:val="28"/>
        </w:rPr>
        <w:t>1、</w:t>
      </w:r>
      <w:bookmarkStart w:id="3" w:name="OLE_LINK57"/>
      <w:bookmarkStart w:id="4" w:name="OLE_LINK58"/>
      <w:r>
        <w:rPr>
          <w:rFonts w:hint="eastAsia" w:ascii="宋体" w:hAnsi="宋体" w:eastAsia="宋体" w:cs="宋体"/>
          <w:sz w:val="24"/>
          <w:szCs w:val="28"/>
        </w:rPr>
        <w:t>中标方</w:t>
      </w:r>
      <w:bookmarkEnd w:id="3"/>
      <w:bookmarkEnd w:id="4"/>
      <w:r>
        <w:rPr>
          <w:rFonts w:hint="eastAsia" w:ascii="宋体" w:hAnsi="宋体" w:eastAsia="宋体" w:cs="宋体"/>
          <w:sz w:val="24"/>
          <w:szCs w:val="28"/>
        </w:rPr>
        <w:t>须对出水流量计数据进行记录，填写水量确认表（见下表）并签名确认。污水处理量以流量计数据作为依据,以招标方审定的数据为准。</w:t>
      </w:r>
    </w:p>
    <w:p w14:paraId="4EEE11EF">
      <w:pPr>
        <w:spacing w:line="360" w:lineRule="auto"/>
        <w:ind w:firstLine="480"/>
        <w:jc w:val="center"/>
        <w:rPr>
          <w:rFonts w:ascii="宋体" w:hAnsi="宋体" w:eastAsia="宋体" w:cs="宋体"/>
          <w:sz w:val="24"/>
          <w:szCs w:val="28"/>
        </w:rPr>
      </w:pPr>
      <w:r>
        <w:rPr>
          <w:rFonts w:hint="eastAsia" w:ascii="宋体" w:hAnsi="宋体" w:eastAsia="宋体" w:cs="宋体"/>
          <w:sz w:val="24"/>
          <w:szCs w:val="28"/>
        </w:rPr>
        <w:t>水量信息确认表（XX年XX月）</w:t>
      </w:r>
    </w:p>
    <w:tbl>
      <w:tblPr>
        <w:tblStyle w:val="7"/>
        <w:tblW w:w="7938" w:type="dxa"/>
        <w:jc w:val="center"/>
        <w:tblLayout w:type="fixed"/>
        <w:tblCellMar>
          <w:top w:w="15" w:type="dxa"/>
          <w:left w:w="15" w:type="dxa"/>
          <w:bottom w:w="15" w:type="dxa"/>
          <w:right w:w="15" w:type="dxa"/>
        </w:tblCellMar>
      </w:tblPr>
      <w:tblGrid>
        <w:gridCol w:w="992"/>
        <w:gridCol w:w="1519"/>
        <w:gridCol w:w="838"/>
        <w:gridCol w:w="2179"/>
        <w:gridCol w:w="2410"/>
      </w:tblGrid>
      <w:tr w14:paraId="79424C94">
        <w:tblPrEx>
          <w:tblCellMar>
            <w:top w:w="15" w:type="dxa"/>
            <w:left w:w="15" w:type="dxa"/>
            <w:bottom w:w="15" w:type="dxa"/>
            <w:right w:w="15" w:type="dxa"/>
          </w:tblCellMar>
        </w:tblPrEx>
        <w:trPr>
          <w:gridAfter w:val="3"/>
          <w:wAfter w:w="5427" w:type="dxa"/>
          <w:trHeight w:val="622" w:hRule="atLeast"/>
          <w:jc w:val="center"/>
        </w:trPr>
        <w:tc>
          <w:tcPr>
            <w:tcW w:w="2511" w:type="dxa"/>
            <w:gridSpan w:val="2"/>
            <w:tcBorders>
              <w:bottom w:val="single" w:color="000000" w:sz="4" w:space="0"/>
            </w:tcBorders>
            <w:vAlign w:val="center"/>
          </w:tcPr>
          <w:p w14:paraId="61D7093E">
            <w:pPr>
              <w:widowControl/>
              <w:textAlignment w:val="center"/>
              <w:rPr>
                <w:rFonts w:asciiTheme="minorEastAsia" w:hAnsiTheme="minorEastAsia"/>
                <w:bCs/>
                <w:sz w:val="24"/>
                <w:szCs w:val="21"/>
              </w:rPr>
            </w:pPr>
            <w:r>
              <w:rPr>
                <w:rFonts w:hint="eastAsia" w:asciiTheme="minorEastAsia" w:hAnsiTheme="minorEastAsia"/>
                <w:bCs/>
                <w:sz w:val="24"/>
                <w:szCs w:val="21"/>
              </w:rPr>
              <w:t>设施安装位置：</w:t>
            </w:r>
          </w:p>
        </w:tc>
      </w:tr>
      <w:tr w14:paraId="6AB1B874">
        <w:tblPrEx>
          <w:tblCellMar>
            <w:top w:w="15" w:type="dxa"/>
            <w:left w:w="15" w:type="dxa"/>
            <w:bottom w:w="15" w:type="dxa"/>
            <w:right w:w="15" w:type="dxa"/>
          </w:tblCellMar>
        </w:tblPrEx>
        <w:trPr>
          <w:trHeight w:val="919" w:hRule="atLeast"/>
          <w:jc w:val="center"/>
        </w:trPr>
        <w:tc>
          <w:tcPr>
            <w:tcW w:w="992" w:type="dxa"/>
            <w:tcBorders>
              <w:top w:val="single" w:color="000000" w:sz="4" w:space="0"/>
              <w:left w:val="single" w:color="000000" w:sz="4" w:space="0"/>
              <w:bottom w:val="single" w:color="000000" w:sz="4" w:space="0"/>
            </w:tcBorders>
            <w:vAlign w:val="center"/>
          </w:tcPr>
          <w:p w14:paraId="25F57FB7">
            <w:pPr>
              <w:widowControl/>
              <w:jc w:val="center"/>
              <w:textAlignment w:val="center"/>
              <w:rPr>
                <w:rFonts w:asciiTheme="minorEastAsia" w:hAnsiTheme="minorEastAsia"/>
                <w:bCs/>
                <w:sz w:val="24"/>
                <w:szCs w:val="21"/>
              </w:rPr>
            </w:pPr>
            <w:r>
              <w:rPr>
                <w:rFonts w:hint="eastAsia" w:asciiTheme="minorEastAsia" w:hAnsiTheme="minorEastAsia"/>
                <w:bCs/>
                <w:sz w:val="24"/>
                <w:szCs w:val="21"/>
              </w:rPr>
              <w:t>日期</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14:paraId="3B44620D">
            <w:pPr>
              <w:widowControl/>
              <w:jc w:val="center"/>
              <w:textAlignment w:val="center"/>
              <w:rPr>
                <w:rFonts w:asciiTheme="minorEastAsia" w:hAnsiTheme="minorEastAsia"/>
                <w:bCs/>
                <w:sz w:val="24"/>
                <w:szCs w:val="21"/>
              </w:rPr>
            </w:pPr>
            <w:r>
              <w:rPr>
                <w:rFonts w:asciiTheme="minorEastAsia" w:hAnsiTheme="minorEastAsia"/>
                <w:bCs/>
                <w:sz w:val="24"/>
                <w:szCs w:val="21"/>
              </w:rPr>
              <w:t>在线流量计读数</w:t>
            </w:r>
          </w:p>
          <w:p w14:paraId="268602DC">
            <w:pPr>
              <w:widowControl/>
              <w:jc w:val="center"/>
              <w:textAlignment w:val="center"/>
              <w:rPr>
                <w:rFonts w:asciiTheme="minorEastAsia" w:hAnsiTheme="minorEastAsia"/>
                <w:bCs/>
                <w:sz w:val="24"/>
                <w:szCs w:val="21"/>
              </w:rPr>
            </w:pPr>
            <w:r>
              <w:rPr>
                <w:rFonts w:asciiTheme="minorEastAsia" w:hAnsiTheme="minorEastAsia"/>
                <w:bCs/>
                <w:sz w:val="24"/>
                <w:szCs w:val="21"/>
              </w:rPr>
              <w:t>单位：吨</w:t>
            </w:r>
          </w:p>
        </w:tc>
        <w:tc>
          <w:tcPr>
            <w:tcW w:w="2179" w:type="dxa"/>
            <w:tcBorders>
              <w:top w:val="single" w:color="000000" w:sz="4" w:space="0"/>
              <w:left w:val="single" w:color="000000" w:sz="4" w:space="0"/>
              <w:bottom w:val="single" w:color="000000" w:sz="4" w:space="0"/>
              <w:right w:val="single" w:color="000000" w:sz="4" w:space="0"/>
            </w:tcBorders>
            <w:vAlign w:val="center"/>
          </w:tcPr>
          <w:p w14:paraId="1B697221">
            <w:pPr>
              <w:widowControl/>
              <w:jc w:val="center"/>
              <w:textAlignment w:val="center"/>
              <w:rPr>
                <w:rFonts w:asciiTheme="minorEastAsia" w:hAnsiTheme="minorEastAsia"/>
                <w:bCs/>
                <w:sz w:val="24"/>
                <w:szCs w:val="21"/>
              </w:rPr>
            </w:pPr>
            <w:r>
              <w:rPr>
                <w:rFonts w:asciiTheme="minorEastAsia" w:hAnsiTheme="minorEastAsia"/>
                <w:bCs/>
                <w:sz w:val="24"/>
                <w:szCs w:val="21"/>
              </w:rPr>
              <w:t>日处理量</w:t>
            </w:r>
          </w:p>
          <w:p w14:paraId="1DAFADB6">
            <w:pPr>
              <w:widowControl/>
              <w:jc w:val="center"/>
              <w:textAlignment w:val="center"/>
              <w:rPr>
                <w:rFonts w:asciiTheme="minorEastAsia" w:hAnsiTheme="minorEastAsia"/>
                <w:bCs/>
                <w:sz w:val="24"/>
                <w:szCs w:val="21"/>
              </w:rPr>
            </w:pPr>
            <w:r>
              <w:rPr>
                <w:rFonts w:asciiTheme="minorEastAsia" w:hAnsiTheme="minorEastAsia"/>
                <w:bCs/>
                <w:sz w:val="24"/>
                <w:szCs w:val="21"/>
              </w:rPr>
              <w:t>单位：吨</w:t>
            </w:r>
          </w:p>
        </w:tc>
        <w:tc>
          <w:tcPr>
            <w:tcW w:w="2410" w:type="dxa"/>
            <w:tcBorders>
              <w:top w:val="single" w:color="000000" w:sz="4" w:space="0"/>
              <w:left w:val="single" w:color="000000" w:sz="4" w:space="0"/>
              <w:bottom w:val="single" w:color="000000" w:sz="4" w:space="0"/>
              <w:right w:val="single" w:color="000000" w:sz="4" w:space="0"/>
            </w:tcBorders>
            <w:vAlign w:val="center"/>
          </w:tcPr>
          <w:p w14:paraId="6514C0A5">
            <w:pPr>
              <w:widowControl/>
              <w:jc w:val="center"/>
              <w:textAlignment w:val="center"/>
              <w:rPr>
                <w:rFonts w:asciiTheme="minorEastAsia" w:hAnsiTheme="minorEastAsia"/>
                <w:bCs/>
                <w:sz w:val="24"/>
                <w:szCs w:val="21"/>
              </w:rPr>
            </w:pPr>
            <w:r>
              <w:rPr>
                <w:rFonts w:hint="eastAsia" w:asciiTheme="minorEastAsia" w:hAnsiTheme="minorEastAsia"/>
                <w:bCs/>
                <w:sz w:val="24"/>
                <w:szCs w:val="21"/>
              </w:rPr>
              <w:t>乙方签名确认</w:t>
            </w:r>
          </w:p>
        </w:tc>
      </w:tr>
      <w:tr w14:paraId="17968353">
        <w:tblPrEx>
          <w:tblCellMar>
            <w:top w:w="15" w:type="dxa"/>
            <w:left w:w="15" w:type="dxa"/>
            <w:bottom w:w="15" w:type="dxa"/>
            <w:right w:w="15" w:type="dxa"/>
          </w:tblCellMar>
        </w:tblPrEx>
        <w:trPr>
          <w:trHeight w:val="392"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19F75E59">
            <w:pPr>
              <w:widowControl/>
              <w:jc w:val="center"/>
              <w:textAlignment w:val="center"/>
              <w:rPr>
                <w:rFonts w:asciiTheme="minorEastAsia" w:hAnsiTheme="minorEastAsia"/>
                <w:bCs/>
                <w:sz w:val="24"/>
                <w:szCs w:val="21"/>
              </w:rPr>
            </w:pPr>
            <w:r>
              <w:rPr>
                <w:rFonts w:hint="eastAsia" w:asciiTheme="minorEastAsia" w:hAnsiTheme="minorEastAsia"/>
                <w:bCs/>
                <w:sz w:val="24"/>
                <w:szCs w:val="21"/>
              </w:rPr>
              <w:t>1</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14:paraId="44C9C75E">
            <w:pPr>
              <w:widowControl/>
              <w:ind w:firstLine="199" w:firstLineChars="83"/>
              <w:jc w:val="center"/>
              <w:textAlignment w:val="center"/>
              <w:rPr>
                <w:rFonts w:asciiTheme="minorEastAsia" w:hAnsiTheme="minorEastAsia"/>
                <w:bCs/>
                <w:sz w:val="24"/>
                <w:szCs w:val="21"/>
              </w:rPr>
            </w:pPr>
          </w:p>
        </w:tc>
        <w:tc>
          <w:tcPr>
            <w:tcW w:w="2179" w:type="dxa"/>
            <w:tcBorders>
              <w:top w:val="single" w:color="000000" w:sz="4" w:space="0"/>
              <w:left w:val="single" w:color="000000" w:sz="4" w:space="0"/>
              <w:bottom w:val="single" w:color="000000" w:sz="4" w:space="0"/>
              <w:right w:val="single" w:color="000000" w:sz="4" w:space="0"/>
            </w:tcBorders>
            <w:vAlign w:val="center"/>
          </w:tcPr>
          <w:p w14:paraId="6005C5C4">
            <w:pPr>
              <w:widowControl/>
              <w:jc w:val="center"/>
              <w:textAlignment w:val="center"/>
              <w:rPr>
                <w:rFonts w:asciiTheme="minorEastAsia" w:hAnsiTheme="minorEastAsia"/>
                <w:bCs/>
                <w:sz w:val="24"/>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477B9A3D">
            <w:pPr>
              <w:jc w:val="center"/>
              <w:rPr>
                <w:rFonts w:asciiTheme="minorEastAsia" w:hAnsiTheme="minorEastAsia"/>
                <w:bCs/>
                <w:sz w:val="24"/>
                <w:szCs w:val="21"/>
              </w:rPr>
            </w:pPr>
          </w:p>
        </w:tc>
      </w:tr>
      <w:tr w14:paraId="1195C1CA">
        <w:tblPrEx>
          <w:tblCellMar>
            <w:top w:w="15" w:type="dxa"/>
            <w:left w:w="15" w:type="dxa"/>
            <w:bottom w:w="15" w:type="dxa"/>
            <w:right w:w="15" w:type="dxa"/>
          </w:tblCellMar>
        </w:tblPrEx>
        <w:trPr>
          <w:trHeight w:val="33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59736422">
            <w:pPr>
              <w:widowControl/>
              <w:jc w:val="center"/>
              <w:textAlignment w:val="center"/>
              <w:rPr>
                <w:rFonts w:asciiTheme="minorEastAsia" w:hAnsiTheme="minorEastAsia"/>
                <w:bCs/>
                <w:sz w:val="24"/>
                <w:szCs w:val="21"/>
              </w:rPr>
            </w:pPr>
            <w:r>
              <w:rPr>
                <w:rFonts w:hint="eastAsia" w:asciiTheme="minorEastAsia" w:hAnsiTheme="minorEastAsia"/>
                <w:bCs/>
                <w:sz w:val="24"/>
                <w:szCs w:val="21"/>
              </w:rPr>
              <w:t>2</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14:paraId="466FA4F0">
            <w:pPr>
              <w:widowControl/>
              <w:ind w:firstLine="199" w:firstLineChars="83"/>
              <w:jc w:val="center"/>
              <w:textAlignment w:val="center"/>
              <w:rPr>
                <w:rFonts w:asciiTheme="minorEastAsia" w:hAnsiTheme="minorEastAsia"/>
                <w:bCs/>
                <w:sz w:val="24"/>
                <w:szCs w:val="21"/>
              </w:rPr>
            </w:pPr>
          </w:p>
        </w:tc>
        <w:tc>
          <w:tcPr>
            <w:tcW w:w="2179" w:type="dxa"/>
            <w:tcBorders>
              <w:top w:val="single" w:color="000000" w:sz="4" w:space="0"/>
              <w:left w:val="single" w:color="000000" w:sz="4" w:space="0"/>
              <w:bottom w:val="single" w:color="000000" w:sz="4" w:space="0"/>
              <w:right w:val="single" w:color="000000" w:sz="4" w:space="0"/>
            </w:tcBorders>
            <w:vAlign w:val="center"/>
          </w:tcPr>
          <w:p w14:paraId="4FF11E29">
            <w:pPr>
              <w:widowControl/>
              <w:jc w:val="center"/>
              <w:textAlignment w:val="center"/>
              <w:rPr>
                <w:rFonts w:asciiTheme="minorEastAsia" w:hAnsiTheme="minorEastAsia"/>
                <w:bCs/>
                <w:sz w:val="24"/>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3ACE27E">
            <w:pPr>
              <w:jc w:val="center"/>
              <w:rPr>
                <w:rFonts w:asciiTheme="minorEastAsia" w:hAnsiTheme="minorEastAsia"/>
                <w:bCs/>
                <w:sz w:val="24"/>
                <w:szCs w:val="21"/>
              </w:rPr>
            </w:pPr>
          </w:p>
        </w:tc>
      </w:tr>
      <w:tr w14:paraId="69D16892">
        <w:tblPrEx>
          <w:tblCellMar>
            <w:top w:w="15" w:type="dxa"/>
            <w:left w:w="15" w:type="dxa"/>
            <w:bottom w:w="15" w:type="dxa"/>
            <w:right w:w="15" w:type="dxa"/>
          </w:tblCellMar>
        </w:tblPrEx>
        <w:trPr>
          <w:trHeight w:val="296"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79F58B90">
            <w:pPr>
              <w:widowControl/>
              <w:jc w:val="center"/>
              <w:textAlignment w:val="center"/>
              <w:rPr>
                <w:rFonts w:asciiTheme="minorEastAsia" w:hAnsiTheme="minorEastAsia"/>
                <w:bCs/>
                <w:sz w:val="24"/>
                <w:szCs w:val="21"/>
              </w:rPr>
            </w:pPr>
            <w:r>
              <w:rPr>
                <w:rFonts w:hint="eastAsia" w:asciiTheme="minorEastAsia" w:hAnsiTheme="minorEastAsia"/>
                <w:bCs/>
                <w:sz w:val="24"/>
                <w:szCs w:val="21"/>
              </w:rPr>
              <w:t>3</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14:paraId="3BA6085F">
            <w:pPr>
              <w:widowControl/>
              <w:ind w:firstLine="199" w:firstLineChars="83"/>
              <w:jc w:val="center"/>
              <w:textAlignment w:val="center"/>
              <w:rPr>
                <w:rFonts w:asciiTheme="minorEastAsia" w:hAnsiTheme="minorEastAsia"/>
                <w:bCs/>
                <w:sz w:val="24"/>
                <w:szCs w:val="21"/>
              </w:rPr>
            </w:pPr>
          </w:p>
        </w:tc>
        <w:tc>
          <w:tcPr>
            <w:tcW w:w="2179" w:type="dxa"/>
            <w:tcBorders>
              <w:top w:val="single" w:color="000000" w:sz="4" w:space="0"/>
              <w:left w:val="single" w:color="000000" w:sz="4" w:space="0"/>
              <w:bottom w:val="single" w:color="000000" w:sz="4" w:space="0"/>
              <w:right w:val="single" w:color="000000" w:sz="4" w:space="0"/>
            </w:tcBorders>
            <w:vAlign w:val="center"/>
          </w:tcPr>
          <w:p w14:paraId="01649486">
            <w:pPr>
              <w:widowControl/>
              <w:jc w:val="center"/>
              <w:textAlignment w:val="center"/>
              <w:rPr>
                <w:rFonts w:asciiTheme="minorEastAsia" w:hAnsiTheme="minorEastAsia"/>
                <w:bCs/>
                <w:sz w:val="24"/>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02E2D094">
            <w:pPr>
              <w:jc w:val="center"/>
              <w:rPr>
                <w:rFonts w:asciiTheme="minorEastAsia" w:hAnsiTheme="minorEastAsia"/>
                <w:bCs/>
                <w:sz w:val="24"/>
                <w:szCs w:val="21"/>
              </w:rPr>
            </w:pPr>
          </w:p>
        </w:tc>
      </w:tr>
      <w:tr w14:paraId="5CDE3C83">
        <w:tblPrEx>
          <w:tblCellMar>
            <w:top w:w="15" w:type="dxa"/>
            <w:left w:w="15" w:type="dxa"/>
            <w:bottom w:w="15" w:type="dxa"/>
            <w:right w:w="15" w:type="dxa"/>
          </w:tblCellMar>
        </w:tblPrEx>
        <w:trPr>
          <w:trHeight w:val="106"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5E3930FF">
            <w:pPr>
              <w:widowControl/>
              <w:jc w:val="center"/>
              <w:textAlignment w:val="center"/>
              <w:rPr>
                <w:rFonts w:asciiTheme="minorEastAsia" w:hAnsiTheme="minorEastAsia"/>
                <w:bCs/>
                <w:sz w:val="24"/>
                <w:szCs w:val="21"/>
              </w:rPr>
            </w:pPr>
            <w:r>
              <w:rPr>
                <w:rFonts w:hint="eastAsia" w:asciiTheme="minorEastAsia" w:hAnsiTheme="minorEastAsia"/>
                <w:bCs/>
                <w:sz w:val="24"/>
                <w:szCs w:val="21"/>
              </w:rPr>
              <w:t>...</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14:paraId="6331603A">
            <w:pPr>
              <w:widowControl/>
              <w:ind w:firstLine="199" w:firstLineChars="83"/>
              <w:jc w:val="center"/>
              <w:textAlignment w:val="center"/>
              <w:rPr>
                <w:rFonts w:asciiTheme="minorEastAsia" w:hAnsiTheme="minorEastAsia"/>
                <w:bCs/>
                <w:sz w:val="24"/>
                <w:szCs w:val="21"/>
              </w:rPr>
            </w:pPr>
          </w:p>
        </w:tc>
        <w:tc>
          <w:tcPr>
            <w:tcW w:w="2179" w:type="dxa"/>
            <w:tcBorders>
              <w:top w:val="single" w:color="000000" w:sz="4" w:space="0"/>
              <w:left w:val="single" w:color="000000" w:sz="4" w:space="0"/>
              <w:bottom w:val="single" w:color="000000" w:sz="4" w:space="0"/>
              <w:right w:val="single" w:color="000000" w:sz="4" w:space="0"/>
            </w:tcBorders>
            <w:vAlign w:val="center"/>
          </w:tcPr>
          <w:p w14:paraId="713F560F">
            <w:pPr>
              <w:widowControl/>
              <w:jc w:val="center"/>
              <w:textAlignment w:val="center"/>
              <w:rPr>
                <w:rFonts w:asciiTheme="minorEastAsia" w:hAnsiTheme="minorEastAsia"/>
                <w:bCs/>
                <w:sz w:val="24"/>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5814E3EA">
            <w:pPr>
              <w:ind w:firstLine="199" w:firstLineChars="83"/>
              <w:jc w:val="center"/>
              <w:rPr>
                <w:rFonts w:asciiTheme="minorEastAsia" w:hAnsiTheme="minorEastAsia"/>
                <w:bCs/>
                <w:sz w:val="24"/>
                <w:szCs w:val="21"/>
              </w:rPr>
            </w:pPr>
          </w:p>
        </w:tc>
      </w:tr>
      <w:tr w14:paraId="53FFB801">
        <w:tblPrEx>
          <w:tblCellMar>
            <w:top w:w="15" w:type="dxa"/>
            <w:left w:w="15" w:type="dxa"/>
            <w:bottom w:w="15" w:type="dxa"/>
            <w:right w:w="15" w:type="dxa"/>
          </w:tblCellMar>
        </w:tblPrEx>
        <w:trPr>
          <w:trHeight w:val="401"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14:paraId="53CFE316">
            <w:pPr>
              <w:widowControl/>
              <w:jc w:val="center"/>
              <w:textAlignment w:val="center"/>
              <w:rPr>
                <w:rFonts w:asciiTheme="minorEastAsia" w:hAnsiTheme="minorEastAsia"/>
                <w:bCs/>
                <w:sz w:val="24"/>
                <w:szCs w:val="21"/>
              </w:rPr>
            </w:pPr>
            <w:r>
              <w:rPr>
                <w:rFonts w:hint="eastAsia" w:asciiTheme="minorEastAsia" w:hAnsiTheme="minorEastAsia"/>
                <w:bCs/>
                <w:sz w:val="24"/>
                <w:szCs w:val="21"/>
              </w:rPr>
              <w:t>合计</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14:paraId="0214BC2A">
            <w:pPr>
              <w:widowControl/>
              <w:ind w:firstLine="199" w:firstLineChars="83"/>
              <w:jc w:val="center"/>
              <w:textAlignment w:val="center"/>
              <w:rPr>
                <w:rFonts w:asciiTheme="minorEastAsia" w:hAnsiTheme="minorEastAsia"/>
                <w:bCs/>
                <w:sz w:val="24"/>
                <w:szCs w:val="21"/>
              </w:rPr>
            </w:pPr>
          </w:p>
        </w:tc>
        <w:tc>
          <w:tcPr>
            <w:tcW w:w="2179" w:type="dxa"/>
            <w:tcBorders>
              <w:top w:val="single" w:color="000000" w:sz="4" w:space="0"/>
              <w:left w:val="single" w:color="000000" w:sz="4" w:space="0"/>
              <w:bottom w:val="single" w:color="000000" w:sz="4" w:space="0"/>
              <w:right w:val="single" w:color="000000" w:sz="4" w:space="0"/>
            </w:tcBorders>
            <w:vAlign w:val="center"/>
          </w:tcPr>
          <w:p w14:paraId="2C728A6A">
            <w:pPr>
              <w:widowControl/>
              <w:jc w:val="center"/>
              <w:textAlignment w:val="center"/>
              <w:rPr>
                <w:rFonts w:asciiTheme="minorEastAsia" w:hAnsiTheme="minorEastAsia"/>
                <w:bCs/>
                <w:sz w:val="24"/>
                <w:szCs w:val="21"/>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7C2EA2A">
            <w:pPr>
              <w:jc w:val="center"/>
              <w:rPr>
                <w:rFonts w:asciiTheme="minorEastAsia" w:hAnsiTheme="minorEastAsia"/>
                <w:bCs/>
                <w:sz w:val="24"/>
                <w:szCs w:val="21"/>
              </w:rPr>
            </w:pPr>
          </w:p>
        </w:tc>
      </w:tr>
    </w:tbl>
    <w:p w14:paraId="69C111A8">
      <w:pPr>
        <w:spacing w:line="360" w:lineRule="auto"/>
        <w:ind w:firstLine="480"/>
        <w:rPr>
          <w:rFonts w:ascii="宋体" w:hAnsi="宋体" w:eastAsia="宋体" w:cs="宋体"/>
          <w:sz w:val="24"/>
          <w:szCs w:val="28"/>
        </w:rPr>
      </w:pPr>
      <w:r>
        <w:rPr>
          <w:rFonts w:hint="eastAsia" w:ascii="宋体" w:hAnsi="宋体" w:eastAsia="宋体" w:cs="宋体"/>
          <w:sz w:val="24"/>
          <w:szCs w:val="28"/>
        </w:rPr>
        <w:t>2、中标方须向</w:t>
      </w:r>
      <w:bookmarkStart w:id="5" w:name="OLE_LINK60"/>
      <w:bookmarkStart w:id="6" w:name="OLE_LINK59"/>
      <w:r>
        <w:rPr>
          <w:rFonts w:hint="eastAsia" w:ascii="宋体" w:hAnsi="宋体" w:eastAsia="宋体" w:cs="宋体"/>
          <w:sz w:val="24"/>
          <w:szCs w:val="28"/>
        </w:rPr>
        <w:t>招标方</w:t>
      </w:r>
      <w:bookmarkEnd w:id="5"/>
      <w:bookmarkEnd w:id="6"/>
      <w:r>
        <w:rPr>
          <w:rFonts w:hint="eastAsia" w:ascii="宋体" w:hAnsi="宋体" w:eastAsia="宋体" w:cs="宋体"/>
          <w:sz w:val="24"/>
          <w:szCs w:val="28"/>
        </w:rPr>
        <w:t>提供中标方签名确认的水量信息确认表（见上表）作为计量支付材料交招标方审核。</w:t>
      </w:r>
    </w:p>
    <w:p w14:paraId="038EEABF">
      <w:pPr>
        <w:spacing w:line="360" w:lineRule="auto"/>
        <w:ind w:firstLine="480"/>
        <w:rPr>
          <w:rFonts w:ascii="宋体" w:hAnsi="宋体" w:eastAsia="宋体" w:cs="宋体"/>
          <w:sz w:val="24"/>
          <w:szCs w:val="28"/>
          <w:highlight w:val="yellow"/>
        </w:rPr>
      </w:pPr>
      <w:r>
        <w:rPr>
          <w:rFonts w:hint="eastAsia" w:ascii="宋体" w:hAnsi="宋体" w:eastAsia="宋体" w:cs="宋体"/>
          <w:sz w:val="24"/>
          <w:szCs w:val="28"/>
        </w:rPr>
        <w:t>3、每月招标方对中标方所提交的资料进行审核确认后，向中标方支付污水处理服务费。招标方在确认结算金额且收到中标方开具增值税专用发票5个工作日内向中标方支付污水处理服务费，污水处理服务费以转账或支票的形式支付到中标方公司账户上。</w:t>
      </w:r>
    </w:p>
    <w:p w14:paraId="4FD2CA5E">
      <w:pPr>
        <w:spacing w:line="360" w:lineRule="auto"/>
        <w:ind w:firstLine="480"/>
        <w:rPr>
          <w:rFonts w:ascii="宋体" w:hAnsi="宋体" w:cs="宋体"/>
          <w:sz w:val="24"/>
          <w:szCs w:val="28"/>
          <w:highlight w:val="yellow"/>
        </w:rPr>
      </w:pPr>
    </w:p>
    <w:p w14:paraId="0774ED99">
      <w:pPr>
        <w:spacing w:line="360" w:lineRule="auto"/>
        <w:rPr>
          <w:rFonts w:ascii="宋体" w:hAnsi="宋体" w:cs="宋体"/>
          <w:b/>
          <w:sz w:val="24"/>
          <w:szCs w:val="28"/>
        </w:rPr>
      </w:pPr>
      <w:r>
        <w:rPr>
          <w:rFonts w:hint="eastAsia" w:ascii="宋体" w:hAnsi="宋体" w:eastAsia="宋体" w:cs="宋体"/>
          <w:b/>
          <w:sz w:val="24"/>
          <w:szCs w:val="28"/>
        </w:rPr>
        <w:t>六、具体工作要求</w:t>
      </w:r>
    </w:p>
    <w:p w14:paraId="5966AA5C">
      <w:pPr>
        <w:spacing w:line="360" w:lineRule="auto"/>
        <w:ind w:firstLine="480"/>
        <w:rPr>
          <w:rFonts w:ascii="宋体" w:hAnsi="宋体" w:eastAsia="宋体" w:cs="宋体"/>
          <w:sz w:val="24"/>
          <w:szCs w:val="28"/>
        </w:rPr>
      </w:pPr>
      <w:r>
        <w:rPr>
          <w:rFonts w:hint="eastAsia" w:ascii="宋体" w:hAnsi="宋体" w:eastAsia="宋体" w:cs="宋体"/>
          <w:sz w:val="24"/>
          <w:szCs w:val="28"/>
        </w:rPr>
        <w:t>1、提供污水处理量为</w:t>
      </w:r>
      <w:r>
        <w:rPr>
          <w:rFonts w:ascii="宋体" w:hAnsi="宋体" w:eastAsia="宋体" w:cs="宋体"/>
          <w:sz w:val="24"/>
          <w:szCs w:val="28"/>
        </w:rPr>
        <w:t>1</w:t>
      </w:r>
      <w:r>
        <w:rPr>
          <w:rFonts w:hint="eastAsia" w:ascii="宋体" w:hAnsi="宋体" w:eastAsia="宋体" w:cs="宋体"/>
          <w:sz w:val="24"/>
          <w:szCs w:val="28"/>
        </w:rPr>
        <w:t>000m3/d的一体化污水处理设施一套。</w:t>
      </w:r>
    </w:p>
    <w:p w14:paraId="7DECBB56">
      <w:pPr>
        <w:spacing w:line="360" w:lineRule="auto"/>
        <w:ind w:firstLine="480"/>
        <w:rPr>
          <w:rFonts w:ascii="宋体" w:hAnsi="宋体" w:eastAsia="宋体" w:cs="宋体"/>
          <w:sz w:val="24"/>
          <w:szCs w:val="28"/>
        </w:rPr>
      </w:pPr>
      <w:r>
        <w:rPr>
          <w:rFonts w:hint="eastAsia" w:ascii="宋体" w:hAnsi="宋体" w:eastAsia="宋体" w:cs="宋体"/>
          <w:sz w:val="24"/>
          <w:szCs w:val="28"/>
        </w:rPr>
        <w:t>包括一体化污水处理设施的工艺图纸设计，站内设备及管道的供货、安装、调试等。</w:t>
      </w:r>
    </w:p>
    <w:p w14:paraId="449755BB">
      <w:pPr>
        <w:spacing w:line="360" w:lineRule="auto"/>
        <w:ind w:firstLine="480"/>
        <w:rPr>
          <w:rFonts w:ascii="宋体" w:hAnsi="宋体" w:eastAsia="宋体" w:cs="宋体"/>
          <w:sz w:val="24"/>
          <w:szCs w:val="28"/>
        </w:rPr>
      </w:pPr>
      <w:r>
        <w:rPr>
          <w:rFonts w:ascii="宋体" w:hAnsi="宋体" w:eastAsia="宋体" w:cs="宋体"/>
          <w:sz w:val="24"/>
          <w:szCs w:val="28"/>
        </w:rPr>
        <w:t>2</w:t>
      </w:r>
      <w:r>
        <w:rPr>
          <w:rFonts w:hint="eastAsia" w:ascii="宋体" w:hAnsi="宋体" w:eastAsia="宋体" w:cs="宋体"/>
          <w:sz w:val="24"/>
          <w:szCs w:val="28"/>
        </w:rPr>
        <w:t>、污水处理站的运营及管理。</w:t>
      </w:r>
    </w:p>
    <w:p w14:paraId="008C88BA">
      <w:pPr>
        <w:spacing w:line="360" w:lineRule="auto"/>
        <w:ind w:firstLine="480"/>
        <w:rPr>
          <w:rFonts w:ascii="宋体" w:hAnsi="宋体" w:eastAsia="宋体" w:cs="宋体"/>
          <w:sz w:val="24"/>
          <w:szCs w:val="28"/>
        </w:rPr>
      </w:pPr>
      <w:r>
        <w:rPr>
          <w:rFonts w:hint="eastAsia" w:ascii="宋体" w:hAnsi="宋体" w:eastAsia="宋体" w:cs="宋体"/>
          <w:sz w:val="24"/>
          <w:szCs w:val="28"/>
        </w:rPr>
        <w:t>运营管理须符合但不限于以下要求：</w:t>
      </w:r>
    </w:p>
    <w:p w14:paraId="0D27BBED">
      <w:pPr>
        <w:spacing w:line="360" w:lineRule="auto"/>
        <w:ind w:firstLine="480"/>
        <w:rPr>
          <w:rFonts w:ascii="宋体" w:hAnsi="宋体" w:eastAsia="宋体" w:cs="宋体"/>
          <w:sz w:val="24"/>
          <w:szCs w:val="28"/>
        </w:rPr>
      </w:pPr>
      <w:r>
        <w:rPr>
          <w:rFonts w:hint="eastAsia" w:ascii="宋体" w:hAnsi="宋体" w:eastAsia="宋体" w:cs="宋体"/>
          <w:sz w:val="24"/>
          <w:szCs w:val="28"/>
        </w:rPr>
        <w:t>（</w:t>
      </w:r>
      <w:r>
        <w:rPr>
          <w:rFonts w:ascii="宋体" w:hAnsi="宋体" w:eastAsia="宋体" w:cs="宋体"/>
          <w:sz w:val="24"/>
          <w:szCs w:val="28"/>
        </w:rPr>
        <w:t>1</w:t>
      </w:r>
      <w:r>
        <w:rPr>
          <w:rFonts w:hint="eastAsia" w:ascii="宋体" w:hAnsi="宋体" w:eastAsia="宋体" w:cs="宋体"/>
          <w:sz w:val="24"/>
          <w:szCs w:val="28"/>
        </w:rPr>
        <w:t>）在服务提供期内</w:t>
      </w:r>
    </w:p>
    <w:p w14:paraId="020E7064">
      <w:pPr>
        <w:spacing w:line="360" w:lineRule="auto"/>
        <w:ind w:firstLine="480"/>
        <w:rPr>
          <w:rFonts w:ascii="宋体" w:hAnsi="宋体" w:eastAsia="宋体" w:cs="宋体"/>
          <w:sz w:val="24"/>
          <w:szCs w:val="28"/>
        </w:rPr>
      </w:pPr>
      <w:r>
        <w:rPr>
          <w:rFonts w:hint="eastAsia" w:ascii="宋体" w:hAnsi="宋体" w:eastAsia="宋体" w:cs="宋体"/>
          <w:sz w:val="24"/>
          <w:szCs w:val="28"/>
        </w:rPr>
        <w:t>除因不可抗力事故及检修期外保证设备每天正常运行，处理约定的水量并对水量进行计量，形成月报上报。</w:t>
      </w:r>
    </w:p>
    <w:p w14:paraId="175859B8">
      <w:pPr>
        <w:spacing w:line="360" w:lineRule="auto"/>
        <w:ind w:firstLine="480"/>
        <w:rPr>
          <w:rFonts w:ascii="宋体" w:hAnsi="宋体" w:eastAsia="宋体" w:cs="宋体"/>
          <w:sz w:val="24"/>
          <w:szCs w:val="28"/>
        </w:rPr>
      </w:pPr>
      <w:r>
        <w:rPr>
          <w:rFonts w:hint="eastAsia" w:ascii="宋体" w:hAnsi="宋体" w:eastAsia="宋体" w:cs="宋体"/>
          <w:sz w:val="24"/>
          <w:szCs w:val="28"/>
        </w:rPr>
        <w:t>处理出水达到指定的出水指标，定期进行水质检测，建立完善的检测台账留档。若招标方指定第三方进行水质取样检测，中标方应予以配合。</w:t>
      </w:r>
    </w:p>
    <w:p w14:paraId="2E6463D9">
      <w:pPr>
        <w:spacing w:line="360" w:lineRule="auto"/>
        <w:ind w:firstLine="480"/>
        <w:rPr>
          <w:rFonts w:ascii="宋体" w:hAnsi="宋体" w:eastAsia="宋体" w:cs="宋体"/>
          <w:sz w:val="24"/>
          <w:szCs w:val="28"/>
        </w:rPr>
      </w:pPr>
      <w:r>
        <w:rPr>
          <w:rFonts w:hint="eastAsia" w:ascii="宋体" w:hAnsi="宋体" w:eastAsia="宋体" w:cs="宋体"/>
          <w:sz w:val="24"/>
          <w:szCs w:val="28"/>
        </w:rPr>
        <w:t>产生的污泥</w:t>
      </w:r>
      <w:r>
        <w:rPr>
          <w:rFonts w:hint="eastAsia" w:ascii="宋体" w:hAnsi="宋体" w:eastAsia="宋体" w:cs="宋体"/>
          <w:sz w:val="24"/>
          <w:szCs w:val="28"/>
          <w:lang w:eastAsia="zh-CN"/>
        </w:rPr>
        <w:t>由中标方按环保要求处置</w:t>
      </w:r>
      <w:r>
        <w:rPr>
          <w:rFonts w:hint="eastAsia" w:ascii="宋体" w:hAnsi="宋体" w:eastAsia="宋体" w:cs="宋体"/>
          <w:sz w:val="24"/>
          <w:szCs w:val="28"/>
        </w:rPr>
        <w:t>。</w:t>
      </w:r>
    </w:p>
    <w:p w14:paraId="6E410911">
      <w:pPr>
        <w:spacing w:line="360" w:lineRule="auto"/>
        <w:ind w:firstLine="480"/>
        <w:rPr>
          <w:rFonts w:ascii="宋体" w:hAnsi="宋体" w:eastAsia="宋体" w:cs="宋体"/>
          <w:sz w:val="24"/>
          <w:szCs w:val="28"/>
        </w:rPr>
      </w:pPr>
      <w:r>
        <w:rPr>
          <w:rFonts w:hint="eastAsia" w:ascii="宋体" w:hAnsi="宋体" w:eastAsia="宋体" w:cs="宋体"/>
          <w:sz w:val="24"/>
          <w:szCs w:val="28"/>
        </w:rPr>
        <w:t>（</w:t>
      </w:r>
      <w:r>
        <w:rPr>
          <w:rFonts w:ascii="宋体" w:hAnsi="宋体" w:eastAsia="宋体" w:cs="宋体"/>
          <w:sz w:val="24"/>
          <w:szCs w:val="28"/>
        </w:rPr>
        <w:t>2</w:t>
      </w:r>
      <w:r>
        <w:rPr>
          <w:rFonts w:hint="eastAsia" w:ascii="宋体" w:hAnsi="宋体" w:eastAsia="宋体" w:cs="宋体"/>
          <w:sz w:val="24"/>
          <w:szCs w:val="28"/>
        </w:rPr>
        <w:t>）建立完善可行的管理制度，包括但不限于运行管理制度、设备管理制度、消耗品及备品备件管理制度（重要的系统设备零部件配备齐全，设备故障时能及时修理或更换，不影响系统正常运作）、危险品管理制度、人员岗位制度、成本控制制度，并严格按制度执行。</w:t>
      </w:r>
    </w:p>
    <w:p w14:paraId="54DD1697">
      <w:pPr>
        <w:spacing w:line="360" w:lineRule="auto"/>
        <w:ind w:firstLine="480"/>
        <w:rPr>
          <w:rFonts w:ascii="宋体" w:hAnsi="宋体" w:eastAsia="宋体" w:cs="宋体"/>
          <w:sz w:val="24"/>
          <w:szCs w:val="28"/>
        </w:rPr>
      </w:pPr>
      <w:r>
        <w:rPr>
          <w:rFonts w:hint="eastAsia" w:ascii="宋体" w:hAnsi="宋体" w:eastAsia="宋体" w:cs="宋体"/>
          <w:sz w:val="24"/>
          <w:szCs w:val="28"/>
        </w:rPr>
        <w:t>（3）具有切合实际的运行操作规程、设备检修维护计划、设备大修及更新计划、应急预案（内容包括但不限于各项环境污染及公共安全事件的、设备突发故障、进水水质波动超过项目处理范围等突发事件的应对措施）。</w:t>
      </w:r>
    </w:p>
    <w:p w14:paraId="40295459">
      <w:pPr>
        <w:spacing w:line="360" w:lineRule="auto"/>
        <w:rPr>
          <w:rFonts w:ascii="宋体" w:hAnsi="宋体" w:cs="宋体"/>
          <w:b/>
          <w:sz w:val="24"/>
        </w:rPr>
      </w:pPr>
      <w:bookmarkStart w:id="7" w:name="_Toc195091356"/>
      <w:bookmarkEnd w:id="7"/>
      <w:bookmarkStart w:id="8" w:name="_Toc195091303"/>
      <w:bookmarkEnd w:id="8"/>
      <w:bookmarkStart w:id="9" w:name="_Toc195091299"/>
      <w:bookmarkEnd w:id="9"/>
      <w:bookmarkStart w:id="10" w:name="_Toc195091300"/>
      <w:bookmarkEnd w:id="10"/>
      <w:bookmarkStart w:id="11" w:name="_Toc195091355"/>
      <w:bookmarkEnd w:id="11"/>
      <w:bookmarkStart w:id="12" w:name="_Toc195091351"/>
      <w:bookmarkEnd w:id="12"/>
      <w:bookmarkStart w:id="13" w:name="_Toc195091301"/>
      <w:bookmarkEnd w:id="13"/>
      <w:bookmarkStart w:id="14" w:name="_Toc195091347"/>
      <w:bookmarkEnd w:id="14"/>
      <w:bookmarkStart w:id="15" w:name="_Toc195091354"/>
      <w:bookmarkEnd w:id="15"/>
      <w:bookmarkStart w:id="16" w:name="_Toc195091357"/>
      <w:bookmarkEnd w:id="16"/>
      <w:bookmarkStart w:id="17" w:name="_Toc195091305"/>
      <w:bookmarkEnd w:id="17"/>
      <w:bookmarkStart w:id="18" w:name="_Toc195091302"/>
      <w:bookmarkEnd w:id="18"/>
      <w:bookmarkStart w:id="19" w:name="_Toc195091353"/>
      <w:bookmarkEnd w:id="19"/>
      <w:bookmarkStart w:id="20" w:name="_Toc195091306"/>
      <w:bookmarkEnd w:id="20"/>
      <w:bookmarkStart w:id="21" w:name="_Toc195091352"/>
      <w:bookmarkEnd w:id="21"/>
      <w:bookmarkStart w:id="22" w:name="_Toc195091296"/>
      <w:bookmarkEnd w:id="22"/>
      <w:bookmarkStart w:id="23" w:name="_Toc195091350"/>
      <w:bookmarkEnd w:id="23"/>
      <w:bookmarkStart w:id="24" w:name="_Toc195091349"/>
      <w:bookmarkEnd w:id="24"/>
      <w:bookmarkStart w:id="25" w:name="_Toc195091304"/>
      <w:bookmarkEnd w:id="25"/>
      <w:bookmarkStart w:id="26" w:name="_Toc195091298"/>
      <w:bookmarkEnd w:id="26"/>
    </w:p>
    <w:p w14:paraId="7EACC56E">
      <w:pPr>
        <w:spacing w:line="360" w:lineRule="auto"/>
        <w:rPr>
          <w:rFonts w:ascii="宋体" w:hAnsi="宋体" w:eastAsia="宋体" w:cs="宋体"/>
          <w:b/>
          <w:sz w:val="22"/>
          <w:szCs w:val="21"/>
        </w:rPr>
      </w:pPr>
      <w:r>
        <w:rPr>
          <w:rFonts w:hint="eastAsia" w:ascii="宋体" w:hAnsi="宋体" w:eastAsia="宋体" w:cs="宋体"/>
          <w:b/>
          <w:sz w:val="24"/>
          <w:lang w:bidi="ar"/>
        </w:rPr>
        <w:t>七、</w:t>
      </w:r>
      <w:r>
        <w:rPr>
          <w:rFonts w:hint="eastAsia" w:ascii="宋体" w:hAnsi="宋体" w:eastAsia="宋体" w:cs="宋体"/>
          <w:b/>
          <w:sz w:val="22"/>
          <w:szCs w:val="21"/>
        </w:rPr>
        <w:t>双方的责任</w:t>
      </w:r>
    </w:p>
    <w:p w14:paraId="74A7B759">
      <w:pPr>
        <w:spacing w:line="360" w:lineRule="auto"/>
        <w:rPr>
          <w:rFonts w:ascii="宋体" w:hAnsi="宋体" w:cs="宋体"/>
          <w:sz w:val="24"/>
        </w:rPr>
      </w:pPr>
      <w:r>
        <w:rPr>
          <w:rFonts w:hint="eastAsia" w:ascii="宋体" w:hAnsi="宋体" w:cs="宋体"/>
          <w:sz w:val="24"/>
        </w:rPr>
        <w:t xml:space="preserve">(一) </w:t>
      </w:r>
      <w:r>
        <w:rPr>
          <w:rFonts w:hint="eastAsia" w:ascii="宋体" w:hAnsi="宋体" w:eastAsia="宋体" w:cs="宋体"/>
          <w:sz w:val="24"/>
        </w:rPr>
        <w:t>采购方</w:t>
      </w:r>
      <w:r>
        <w:rPr>
          <w:rFonts w:hint="eastAsia" w:ascii="宋体" w:hAnsi="宋体" w:cs="宋体"/>
          <w:sz w:val="24"/>
        </w:rPr>
        <w:t>的权利和义务</w:t>
      </w:r>
    </w:p>
    <w:p w14:paraId="0DD4AD33">
      <w:pPr>
        <w:spacing w:line="360" w:lineRule="auto"/>
        <w:rPr>
          <w:rFonts w:ascii="宋体" w:hAnsi="宋体" w:cs="宋体"/>
          <w:sz w:val="24"/>
        </w:rPr>
      </w:pPr>
      <w:r>
        <w:rPr>
          <w:rFonts w:hint="eastAsia" w:ascii="宋体" w:hAnsi="宋体" w:cs="宋体"/>
          <w:sz w:val="24"/>
        </w:rPr>
        <w:t>1、负责项目前期工作，交付项目建设用地及施工临时用地，保证供应方建设期间有权进入该土地，保证项目建设土地及施工临时用地不存在任何的债权债务纠纷。</w:t>
      </w:r>
    </w:p>
    <w:p w14:paraId="30DF3805">
      <w:pPr>
        <w:spacing w:line="360" w:lineRule="auto"/>
        <w:rPr>
          <w:rFonts w:ascii="宋体" w:hAnsi="宋体" w:cs="宋体"/>
          <w:sz w:val="24"/>
        </w:rPr>
      </w:pPr>
      <w:r>
        <w:rPr>
          <w:rFonts w:hint="eastAsia" w:ascii="宋体" w:hAnsi="宋体" w:cs="宋体"/>
          <w:sz w:val="24"/>
        </w:rPr>
        <w:t>2、负责提供用电、用水接入点，协助供应方办理相关手续。</w:t>
      </w:r>
    </w:p>
    <w:p w14:paraId="3811553E">
      <w:pPr>
        <w:spacing w:line="360" w:lineRule="auto"/>
        <w:rPr>
          <w:rFonts w:ascii="宋体" w:hAnsi="宋体" w:cs="宋体"/>
          <w:sz w:val="24"/>
        </w:rPr>
      </w:pPr>
      <w:r>
        <w:rPr>
          <w:rFonts w:hint="eastAsia" w:ascii="宋体" w:hAnsi="宋体" w:cs="宋体"/>
          <w:sz w:val="24"/>
        </w:rPr>
        <w:t>3、负责1#及2#拦水坝的设置，负责箱涵的开挖、清淤、设备基础的平整、夯实、混凝土浇注、箱涵内设置控制闸门等。</w:t>
      </w:r>
    </w:p>
    <w:p w14:paraId="222F5289">
      <w:pPr>
        <w:spacing w:line="360" w:lineRule="auto"/>
        <w:rPr>
          <w:rFonts w:ascii="宋体" w:hAnsi="宋体" w:cs="宋体"/>
          <w:sz w:val="24"/>
        </w:rPr>
      </w:pPr>
      <w:r>
        <w:rPr>
          <w:rFonts w:hint="eastAsia" w:ascii="宋体" w:hAnsi="宋体" w:cs="宋体"/>
          <w:sz w:val="24"/>
        </w:rPr>
        <w:t>4、运营管理服务期间产生的污泥直接就近排至市政污水排水管道中，其中涉及到与相关部门的沟通、协调及所需办理的相关手续等事宜由采购方负责。</w:t>
      </w:r>
    </w:p>
    <w:p w14:paraId="23AACD2B">
      <w:pPr>
        <w:spacing w:line="360" w:lineRule="auto"/>
        <w:rPr>
          <w:rFonts w:ascii="宋体" w:hAnsi="宋体" w:cs="宋体"/>
          <w:sz w:val="24"/>
        </w:rPr>
      </w:pPr>
      <w:r>
        <w:rPr>
          <w:rFonts w:hint="eastAsia" w:ascii="宋体" w:hAnsi="宋体" w:cs="宋体"/>
          <w:sz w:val="24"/>
        </w:rPr>
        <w:t>5、按约定对项目进行考核，并按约定及时足额支付污水处理服务费。</w:t>
      </w:r>
    </w:p>
    <w:p w14:paraId="6E13A077">
      <w:pPr>
        <w:spacing w:line="360" w:lineRule="auto"/>
        <w:rPr>
          <w:rFonts w:ascii="宋体" w:hAnsi="宋体" w:cs="宋体"/>
          <w:sz w:val="24"/>
        </w:rPr>
      </w:pPr>
      <w:r>
        <w:rPr>
          <w:rFonts w:hint="eastAsia" w:ascii="宋体" w:hAnsi="宋体" w:cs="宋体"/>
          <w:sz w:val="24"/>
        </w:rPr>
        <w:t>6、采购方确保本项目运作模式的合法性，配合供应方办理项目所需的证明文件及相关材料，该证明文件及材料仅为证明项目的合法及合规性文件，积极协助供应方取得各种运营所需的执照、许可和核准等。</w:t>
      </w:r>
    </w:p>
    <w:p w14:paraId="721F68A1">
      <w:pPr>
        <w:spacing w:line="360" w:lineRule="auto"/>
        <w:rPr>
          <w:rFonts w:ascii="宋体" w:hAnsi="宋体" w:cs="宋体"/>
          <w:sz w:val="24"/>
        </w:rPr>
      </w:pPr>
      <w:r>
        <w:rPr>
          <w:rFonts w:hint="eastAsia" w:ascii="宋体" w:hAnsi="宋体" w:cs="宋体"/>
          <w:sz w:val="24"/>
        </w:rPr>
        <w:t>7、协调本项目与有关部门的关系。</w:t>
      </w:r>
    </w:p>
    <w:p w14:paraId="6E55ABAE">
      <w:pPr>
        <w:spacing w:line="360" w:lineRule="auto"/>
        <w:rPr>
          <w:rFonts w:ascii="宋体" w:hAnsi="宋体" w:cs="宋体"/>
          <w:sz w:val="24"/>
        </w:rPr>
      </w:pPr>
      <w:r>
        <w:rPr>
          <w:rFonts w:hint="eastAsia" w:ascii="宋体" w:hAnsi="宋体" w:cs="宋体"/>
          <w:sz w:val="24"/>
        </w:rPr>
        <w:t>8、对供应方是否遵守合同享有监督检查权及对运营维护的介入权。</w:t>
      </w:r>
    </w:p>
    <w:p w14:paraId="00438412">
      <w:pPr>
        <w:spacing w:line="360" w:lineRule="auto"/>
        <w:rPr>
          <w:rFonts w:ascii="宋体" w:hAnsi="宋体" w:cs="宋体"/>
          <w:sz w:val="24"/>
        </w:rPr>
      </w:pPr>
      <w:r>
        <w:rPr>
          <w:rFonts w:hint="eastAsia" w:ascii="宋体" w:hAnsi="宋体" w:cs="宋体"/>
          <w:sz w:val="24"/>
        </w:rPr>
        <w:t>9、有权要求供应方提交与本项目相关的水质检测报告等工作范围内的专项报告，并有监督检查的权力。</w:t>
      </w:r>
    </w:p>
    <w:p w14:paraId="7C56A976">
      <w:pPr>
        <w:spacing w:line="360" w:lineRule="auto"/>
        <w:rPr>
          <w:rFonts w:ascii="宋体" w:hAnsi="宋体" w:cs="宋体"/>
          <w:sz w:val="24"/>
        </w:rPr>
      </w:pPr>
      <w:r>
        <w:rPr>
          <w:rFonts w:hint="eastAsia" w:ascii="宋体" w:hAnsi="宋体" w:cs="宋体"/>
          <w:sz w:val="24"/>
        </w:rPr>
        <w:t>10、采购方在与供应方协商的情况下，有权将合同项下采购方的全部或部分权利授权给采购方指定机构行使，亦有权将合同项下的全部或部分义务委托采购方指定机构代为履行，采购方对采购方指定机构的履约行为承担连带责任。</w:t>
      </w:r>
    </w:p>
    <w:p w14:paraId="3ED7B6A1">
      <w:pPr>
        <w:spacing w:line="360" w:lineRule="auto"/>
        <w:rPr>
          <w:rFonts w:ascii="宋体" w:hAnsi="宋体" w:cs="宋体"/>
          <w:sz w:val="24"/>
        </w:rPr>
      </w:pPr>
      <w:r>
        <w:rPr>
          <w:rFonts w:hint="eastAsia" w:ascii="宋体" w:hAnsi="宋体" w:cs="宋体"/>
          <w:sz w:val="24"/>
        </w:rPr>
        <w:t>11、在供应方违约时，有权追究供应方违约责任，并有权根据供应方违约情况提前终止合同，收回运营权，追究供应方责任。</w:t>
      </w:r>
    </w:p>
    <w:p w14:paraId="5BF21E43">
      <w:pPr>
        <w:spacing w:line="360" w:lineRule="auto"/>
        <w:rPr>
          <w:rFonts w:ascii="宋体" w:hAnsi="宋体" w:cs="宋体"/>
          <w:sz w:val="24"/>
        </w:rPr>
      </w:pPr>
      <w:r>
        <w:rPr>
          <w:rFonts w:hint="eastAsia" w:ascii="宋体" w:hAnsi="宋体" w:cs="宋体"/>
          <w:sz w:val="24"/>
        </w:rPr>
        <w:t>12、遵守国家、行业和工程所在地有关的法律法规，履行合同约定的其他责任和义务。</w:t>
      </w:r>
    </w:p>
    <w:p w14:paraId="0BA8B973">
      <w:pPr>
        <w:spacing w:line="360" w:lineRule="auto"/>
        <w:rPr>
          <w:rFonts w:ascii="宋体" w:hAnsi="宋体" w:cs="宋体"/>
          <w:sz w:val="24"/>
        </w:rPr>
      </w:pPr>
      <w:r>
        <w:rPr>
          <w:rFonts w:hint="eastAsia" w:ascii="宋体" w:hAnsi="宋体" w:cs="宋体"/>
          <w:sz w:val="24"/>
        </w:rPr>
        <w:t>(二) 供应方的权利和义务</w:t>
      </w:r>
    </w:p>
    <w:p w14:paraId="44FC39AE">
      <w:pPr>
        <w:spacing w:line="360" w:lineRule="auto"/>
        <w:rPr>
          <w:rFonts w:ascii="宋体" w:hAnsi="宋体" w:cs="宋体"/>
          <w:sz w:val="24"/>
        </w:rPr>
      </w:pPr>
      <w:r>
        <w:rPr>
          <w:rFonts w:hint="eastAsia" w:ascii="宋体" w:hAnsi="宋体" w:cs="宋体"/>
          <w:sz w:val="24"/>
        </w:rPr>
        <w:t>1、承担提供符合约定的污水处理服务义务并取得污水处理服务费的权利。</w:t>
      </w:r>
    </w:p>
    <w:p w14:paraId="14E23DD1">
      <w:pPr>
        <w:spacing w:line="360" w:lineRule="auto"/>
        <w:rPr>
          <w:rFonts w:ascii="宋体" w:hAnsi="宋体" w:cs="宋体"/>
          <w:sz w:val="24"/>
        </w:rPr>
      </w:pPr>
      <w:r>
        <w:rPr>
          <w:rFonts w:hint="eastAsia" w:ascii="宋体" w:hAnsi="宋体" w:cs="宋体"/>
          <w:sz w:val="24"/>
        </w:rPr>
        <w:t>2、在项目合作期间内，按约对本项目享有独占、排他的经营权。</w:t>
      </w:r>
    </w:p>
    <w:p w14:paraId="6C76252C">
      <w:pPr>
        <w:spacing w:line="360" w:lineRule="auto"/>
        <w:rPr>
          <w:rFonts w:ascii="宋体" w:hAnsi="宋体" w:cs="宋体"/>
          <w:sz w:val="24"/>
        </w:rPr>
      </w:pPr>
      <w:r>
        <w:rPr>
          <w:rFonts w:hint="eastAsia" w:ascii="宋体" w:hAnsi="宋体" w:cs="宋体"/>
          <w:sz w:val="24"/>
        </w:rPr>
        <w:t>3、负责项目的设备安装、调试、运行、维护、拆除及迁移工作，并承担费用、责任和风险。履行项目建设管理单位的职责，负责工程施工的管理工作，包括设计、交底、建设进度、工程质量、安全及文明施工等。</w:t>
      </w:r>
    </w:p>
    <w:p w14:paraId="6D186C67">
      <w:pPr>
        <w:spacing w:line="360" w:lineRule="auto"/>
        <w:rPr>
          <w:rFonts w:ascii="宋体" w:hAnsi="宋体" w:cs="宋体"/>
          <w:sz w:val="24"/>
        </w:rPr>
      </w:pPr>
      <w:r>
        <w:rPr>
          <w:rFonts w:hint="eastAsia" w:ascii="宋体" w:hAnsi="宋体" w:cs="宋体"/>
          <w:sz w:val="24"/>
        </w:rPr>
        <w:t>4、在约定时间内办理完善相关手续并开工，并按照合同约定完成项目运营管理工作。</w:t>
      </w:r>
    </w:p>
    <w:p w14:paraId="55F1819D">
      <w:pPr>
        <w:spacing w:line="360" w:lineRule="auto"/>
        <w:rPr>
          <w:rFonts w:ascii="宋体" w:hAnsi="宋体" w:cs="宋体"/>
          <w:sz w:val="24"/>
        </w:rPr>
      </w:pPr>
      <w:r>
        <w:rPr>
          <w:rFonts w:hint="eastAsia" w:ascii="宋体" w:hAnsi="宋体" w:cs="宋体"/>
          <w:sz w:val="24"/>
        </w:rPr>
        <w:t>5、衔接好与本项目有关单位的关系，确保工程顺利进行。</w:t>
      </w:r>
    </w:p>
    <w:p w14:paraId="2928E9B4">
      <w:pPr>
        <w:spacing w:line="360" w:lineRule="auto"/>
        <w:rPr>
          <w:rFonts w:ascii="宋体" w:hAnsi="宋体" w:cs="宋体"/>
          <w:sz w:val="24"/>
        </w:rPr>
      </w:pPr>
      <w:r>
        <w:rPr>
          <w:rFonts w:hint="eastAsia" w:ascii="宋体" w:hAnsi="宋体" w:cs="宋体"/>
          <w:sz w:val="24"/>
        </w:rPr>
        <w:t>6、对项目相关单位的工程款支付，应按项目实际进度、根据与相关单位的合同约定执行，不得无故拖欠，并采取切实有效措施确保农民工工资不被拖欠。</w:t>
      </w:r>
    </w:p>
    <w:p w14:paraId="17DFAD54">
      <w:pPr>
        <w:spacing w:line="360" w:lineRule="auto"/>
        <w:rPr>
          <w:rFonts w:ascii="宋体" w:hAnsi="宋体" w:cs="宋体"/>
          <w:sz w:val="24"/>
        </w:rPr>
      </w:pPr>
      <w:r>
        <w:rPr>
          <w:rFonts w:hint="eastAsia" w:ascii="宋体" w:hAnsi="宋体" w:cs="宋体"/>
          <w:sz w:val="24"/>
        </w:rPr>
        <w:t>7、不得擅自变更项目质量标准和进行其他实质性变更，确需变更的，须取得采购方同意，方可实施。</w:t>
      </w:r>
    </w:p>
    <w:p w14:paraId="28BB613D">
      <w:pPr>
        <w:spacing w:line="360" w:lineRule="auto"/>
        <w:rPr>
          <w:rFonts w:ascii="宋体" w:hAnsi="宋体" w:cs="宋体"/>
          <w:sz w:val="24"/>
        </w:rPr>
      </w:pPr>
      <w:r>
        <w:rPr>
          <w:rFonts w:hint="eastAsia" w:ascii="宋体" w:hAnsi="宋体" w:cs="宋体"/>
          <w:sz w:val="24"/>
        </w:rPr>
        <w:t>8、在运营期内，供应方应对设备及附属设施进行相应管理维护，包括但不限于设备的日常保养、维护、维修、零配件更换工作，提供污水处理系统运行所需的消耗性备品备件并按实际需求替换。</w:t>
      </w:r>
    </w:p>
    <w:p w14:paraId="5D93BE81">
      <w:pPr>
        <w:spacing w:line="360" w:lineRule="auto"/>
        <w:rPr>
          <w:rFonts w:ascii="宋体" w:hAnsi="宋体" w:cs="宋体"/>
          <w:sz w:val="24"/>
        </w:rPr>
      </w:pPr>
      <w:r>
        <w:rPr>
          <w:rFonts w:hint="eastAsia" w:ascii="宋体" w:hAnsi="宋体" w:cs="宋体"/>
          <w:sz w:val="24"/>
        </w:rPr>
        <w:t>9、在整个运营期内应配备相应人员、技术和设备并保持相应的批文和资质有效，确保项目良好运营。</w:t>
      </w:r>
    </w:p>
    <w:p w14:paraId="6D3AD8A0">
      <w:pPr>
        <w:spacing w:line="360" w:lineRule="auto"/>
        <w:rPr>
          <w:rFonts w:ascii="宋体" w:hAnsi="宋体" w:cs="宋体"/>
          <w:sz w:val="24"/>
        </w:rPr>
      </w:pPr>
      <w:r>
        <w:rPr>
          <w:rFonts w:hint="eastAsia" w:ascii="宋体" w:hAnsi="宋体" w:cs="宋体"/>
          <w:sz w:val="24"/>
        </w:rPr>
        <w:t>10、服务期满后若不再续约，按约定将设备（含配套设施）拆除并迁移。</w:t>
      </w:r>
    </w:p>
    <w:p w14:paraId="7264BB8E">
      <w:pPr>
        <w:spacing w:line="360" w:lineRule="auto"/>
        <w:rPr>
          <w:rFonts w:ascii="宋体" w:hAnsi="宋体" w:cs="宋体"/>
          <w:sz w:val="24"/>
        </w:rPr>
      </w:pPr>
      <w:r>
        <w:rPr>
          <w:rFonts w:hint="eastAsia" w:ascii="宋体" w:hAnsi="宋体" w:cs="宋体"/>
          <w:sz w:val="24"/>
        </w:rPr>
        <w:t>11、在采购方严重违约的情况下，有权要求提前终止合同，并根据约定获得相应违约金。</w:t>
      </w:r>
    </w:p>
    <w:p w14:paraId="22A4FD92">
      <w:pPr>
        <w:spacing w:line="360" w:lineRule="auto"/>
        <w:rPr>
          <w:rFonts w:ascii="宋体" w:hAnsi="宋体" w:cs="宋体"/>
          <w:sz w:val="24"/>
        </w:rPr>
      </w:pPr>
      <w:r>
        <w:rPr>
          <w:rFonts w:hint="eastAsia" w:ascii="宋体" w:hAnsi="宋体" w:cs="宋体"/>
          <w:sz w:val="24"/>
        </w:rPr>
        <w:t>12、依法缴纳各项应由供应方承担的相关税费。</w:t>
      </w:r>
    </w:p>
    <w:p w14:paraId="41CE61F1">
      <w:pPr>
        <w:spacing w:line="360" w:lineRule="auto"/>
        <w:rPr>
          <w:rFonts w:ascii="宋体" w:hAnsi="宋体" w:cs="宋体"/>
          <w:sz w:val="24"/>
        </w:rPr>
      </w:pPr>
      <w:r>
        <w:rPr>
          <w:rFonts w:hint="eastAsia" w:ascii="宋体" w:hAnsi="宋体" w:cs="宋体"/>
          <w:sz w:val="24"/>
        </w:rPr>
        <w:t>13、配合采购方、公共监督机构、政府部门参观考察。</w:t>
      </w:r>
    </w:p>
    <w:p w14:paraId="00F50962">
      <w:pPr>
        <w:spacing w:line="360" w:lineRule="auto"/>
        <w:rPr>
          <w:rFonts w:ascii="宋体" w:hAnsi="宋体" w:cs="宋体"/>
          <w:sz w:val="24"/>
        </w:rPr>
      </w:pPr>
      <w:r>
        <w:rPr>
          <w:rFonts w:hint="eastAsia" w:ascii="宋体" w:hAnsi="宋体" w:cs="宋体"/>
          <w:sz w:val="24"/>
        </w:rPr>
        <w:t>14、供应方应为现场员工办理意外伤害保险，支付保险费用。如供应方未购买或少购买，在合同服务期限内发生事故，责任由供应方承担。</w:t>
      </w:r>
    </w:p>
    <w:p w14:paraId="42730132">
      <w:pPr>
        <w:spacing w:line="360" w:lineRule="auto"/>
        <w:rPr>
          <w:rFonts w:ascii="宋体" w:hAnsi="宋体" w:cs="宋体"/>
          <w:sz w:val="24"/>
        </w:rPr>
      </w:pPr>
      <w:r>
        <w:rPr>
          <w:rFonts w:hint="eastAsia" w:ascii="宋体" w:hAnsi="宋体" w:cs="宋体"/>
          <w:sz w:val="24"/>
        </w:rPr>
        <w:t>15、按约定支付与本项目相关的其他所有费用，但除合同明确约定应由采购方承担的费用除外。由供应方承担的本项目相关的其他所有费用包括但不限于以下：</w:t>
      </w:r>
    </w:p>
    <w:p w14:paraId="6038993D">
      <w:pPr>
        <w:spacing w:line="360" w:lineRule="auto"/>
        <w:rPr>
          <w:rFonts w:ascii="宋体" w:hAnsi="宋体" w:cs="宋体"/>
          <w:sz w:val="24"/>
        </w:rPr>
      </w:pPr>
      <w:r>
        <w:rPr>
          <w:rFonts w:hint="eastAsia" w:ascii="宋体" w:hAnsi="宋体" w:cs="宋体"/>
          <w:sz w:val="24"/>
        </w:rPr>
        <w:t>所有设备、材料及零配件的购置，运输装卸，保险，调试，设备日常运行维护费，水质检测费，运营期满后的设备拆除及迁移，运营期水电费及动力药剂费等，雇员费用，全额税费发票，合同实施过程中应预见和不可预见费用等完成本项目的全部费用。</w:t>
      </w:r>
    </w:p>
    <w:p w14:paraId="2F96A8A9">
      <w:pPr>
        <w:spacing w:line="360" w:lineRule="auto"/>
        <w:rPr>
          <w:rFonts w:ascii="宋体" w:hAnsi="宋体" w:cs="宋体"/>
          <w:sz w:val="24"/>
        </w:rPr>
      </w:pPr>
      <w:r>
        <w:rPr>
          <w:rFonts w:hint="eastAsia" w:ascii="宋体" w:hAnsi="宋体" w:cs="宋体"/>
          <w:sz w:val="24"/>
        </w:rPr>
        <w:t>16、自觉接受国家和政府方按国家有关法律及法规规定对本项目进行的审计（如有），并及时办理相关手续。</w:t>
      </w:r>
    </w:p>
    <w:p w14:paraId="265EA3F7">
      <w:pPr>
        <w:spacing w:line="360" w:lineRule="auto"/>
        <w:rPr>
          <w:rFonts w:ascii="宋体" w:hAnsi="宋体" w:cs="宋体"/>
          <w:sz w:val="24"/>
        </w:rPr>
      </w:pPr>
      <w:r>
        <w:rPr>
          <w:rFonts w:hint="eastAsia" w:ascii="宋体" w:hAnsi="宋体" w:cs="宋体"/>
          <w:sz w:val="24"/>
        </w:rPr>
        <w:t>17、供应方必须注意项目运营管理期内的安全。按国家有关要求做好安全工作，承担运营管理期内的运行安全及运营维护责任。如因项目运营管理期内运营、维护等现场的安全防范措施不当或工作有疏忽而导致供应方雇请的人员发生工伤或其他人身损害，或造成其他人员的人身或财产损害的，责任由供应方负责。</w:t>
      </w:r>
    </w:p>
    <w:p w14:paraId="08DBDEF2">
      <w:pPr>
        <w:spacing w:line="360" w:lineRule="auto"/>
        <w:rPr>
          <w:rFonts w:ascii="宋体" w:hAnsi="宋体" w:cs="宋体"/>
          <w:sz w:val="24"/>
        </w:rPr>
      </w:pPr>
      <w:r>
        <w:rPr>
          <w:rFonts w:hint="eastAsia" w:ascii="宋体" w:hAnsi="宋体" w:cs="宋体"/>
          <w:sz w:val="24"/>
        </w:rPr>
        <w:t>18、其他由合同约定的供应方享有和承担的权利和义务。</w:t>
      </w:r>
    </w:p>
    <w:p w14:paraId="02755A47">
      <w:pPr>
        <w:spacing w:line="360" w:lineRule="auto"/>
        <w:ind w:firstLine="602"/>
        <w:rPr>
          <w:rFonts w:ascii="宋体" w:hAnsi="宋体" w:eastAsia="宋体" w:cs="宋体"/>
          <w:b/>
          <w:sz w:val="30"/>
          <w:szCs w:val="30"/>
        </w:rPr>
        <w:sectPr>
          <w:pgSz w:w="11906" w:h="16838"/>
          <w:pgMar w:top="567" w:right="567" w:bottom="567" w:left="567" w:header="851" w:footer="992" w:gutter="0"/>
          <w:cols w:space="425" w:num="1"/>
          <w:docGrid w:type="lines" w:linePitch="312" w:charSpace="0"/>
        </w:sectPr>
      </w:pPr>
    </w:p>
    <w:p w14:paraId="01434070">
      <w:pPr>
        <w:spacing w:line="360" w:lineRule="auto"/>
        <w:ind w:firstLine="602"/>
        <w:rPr>
          <w:rFonts w:ascii="宋体" w:hAnsi="宋体" w:eastAsia="宋体" w:cs="宋体"/>
          <w:b/>
          <w:sz w:val="30"/>
          <w:szCs w:val="30"/>
        </w:rPr>
      </w:pPr>
      <w:r>
        <w:rPr>
          <w:rFonts w:hint="eastAsia" w:ascii="宋体" w:hAnsi="宋体" w:eastAsia="宋体" w:cs="宋体"/>
          <w:b/>
          <w:sz w:val="30"/>
          <w:szCs w:val="30"/>
        </w:rPr>
        <w:t>第二部分  有关说明</w:t>
      </w:r>
    </w:p>
    <w:p w14:paraId="5A1F3AF1">
      <w:pPr>
        <w:numPr>
          <w:ilvl w:val="1"/>
          <w:numId w:val="2"/>
        </w:numPr>
        <w:tabs>
          <w:tab w:val="left" w:pos="945"/>
        </w:tabs>
        <w:spacing w:line="360" w:lineRule="auto"/>
        <w:ind w:left="0" w:firstLine="480"/>
        <w:rPr>
          <w:rFonts w:ascii="宋体" w:hAnsi="宋体" w:eastAsia="宋体" w:cs="宋体"/>
          <w:color w:val="000000"/>
          <w:sz w:val="24"/>
          <w:szCs w:val="24"/>
        </w:rPr>
      </w:pPr>
      <w:r>
        <w:rPr>
          <w:rFonts w:hint="eastAsia" w:ascii="宋体" w:hAnsi="宋体" w:eastAsia="宋体" w:cs="宋体"/>
          <w:color w:val="000000"/>
          <w:sz w:val="24"/>
          <w:szCs w:val="24"/>
        </w:rPr>
        <w:t>项目退出和补偿机制</w:t>
      </w:r>
    </w:p>
    <w:p w14:paraId="1372834D">
      <w:pPr>
        <w:spacing w:line="360" w:lineRule="auto"/>
        <w:ind w:firstLine="602"/>
        <w:rPr>
          <w:rFonts w:ascii="宋体" w:hAnsi="宋体" w:eastAsia="宋体" w:cs="宋体"/>
          <w:color w:val="000000"/>
          <w:sz w:val="24"/>
          <w:szCs w:val="24"/>
        </w:rPr>
      </w:pPr>
      <w:r>
        <w:rPr>
          <w:rFonts w:hint="eastAsia" w:ascii="宋体" w:hAnsi="宋体" w:eastAsia="宋体" w:cs="宋体"/>
          <w:color w:val="000000"/>
          <w:sz w:val="24"/>
          <w:szCs w:val="24"/>
        </w:rPr>
        <w:t>（一）1年服务期满后，中标方需按约定对设备（含配套设施）进行拆除和迁移，否则招标方将自行拆移设备和恢复场地原状，拆除和迁移费用由中标方支付。</w:t>
      </w:r>
    </w:p>
    <w:p w14:paraId="7F919B4D">
      <w:pPr>
        <w:spacing w:line="360" w:lineRule="auto"/>
        <w:ind w:firstLine="602"/>
        <w:rPr>
          <w:rFonts w:ascii="宋体" w:hAnsi="宋体" w:eastAsia="宋体" w:cs="宋体"/>
          <w:color w:val="000000"/>
          <w:sz w:val="24"/>
          <w:szCs w:val="24"/>
        </w:rPr>
      </w:pPr>
      <w:r>
        <w:rPr>
          <w:rFonts w:hint="eastAsia" w:ascii="宋体" w:hAnsi="宋体" w:eastAsia="宋体" w:cs="宋体"/>
          <w:color w:val="000000"/>
          <w:sz w:val="24"/>
          <w:szCs w:val="24"/>
        </w:rPr>
        <w:t>（二）在不满1年服务期内，如场地被征作它用或因其他原因导致处理设施无污水处理或污水量骤减等情况，部分或全部处理系统将可能停运或拆除，中标方须同意并退出，除已支付部分，招标方向中标方支付1年期剩余部分的污水处理服务费。</w:t>
      </w:r>
    </w:p>
    <w:p w14:paraId="351F7731">
      <w:pPr>
        <w:spacing w:line="360" w:lineRule="auto"/>
        <w:ind w:firstLine="602"/>
        <w:rPr>
          <w:rFonts w:ascii="宋体" w:hAnsi="宋体" w:eastAsia="宋体" w:cs="宋体"/>
          <w:color w:val="000000"/>
          <w:sz w:val="24"/>
          <w:szCs w:val="24"/>
        </w:rPr>
      </w:pPr>
      <w:r>
        <w:rPr>
          <w:rFonts w:hint="eastAsia" w:ascii="宋体" w:hAnsi="宋体" w:eastAsia="宋体" w:cs="宋体"/>
          <w:color w:val="000000"/>
          <w:sz w:val="24"/>
          <w:szCs w:val="24"/>
        </w:rPr>
        <w:t>（三）1年服务期满后，若本项目运营管理服务期需继续延长，则按政府采购规定程序重新约定。</w:t>
      </w:r>
    </w:p>
    <w:p w14:paraId="23B99476">
      <w:pPr>
        <w:numPr>
          <w:ilvl w:val="1"/>
          <w:numId w:val="2"/>
        </w:numPr>
        <w:tabs>
          <w:tab w:val="left" w:pos="945"/>
        </w:tabs>
        <w:spacing w:line="360" w:lineRule="auto"/>
        <w:ind w:left="0" w:firstLine="480"/>
        <w:rPr>
          <w:rFonts w:ascii="宋体" w:hAnsi="宋体" w:cs="宋体"/>
          <w:bCs/>
          <w:color w:val="000000"/>
          <w:sz w:val="24"/>
          <w:szCs w:val="24"/>
        </w:rPr>
      </w:pPr>
      <w:r>
        <w:rPr>
          <w:rFonts w:hint="eastAsia" w:ascii="宋体" w:hAnsi="宋体" w:eastAsia="宋体" w:cs="宋体"/>
          <w:color w:val="000000"/>
          <w:sz w:val="24"/>
          <w:szCs w:val="24"/>
        </w:rPr>
        <w:t>中标单位应按照相关规定，与所有聘用人员依法签订劳动合同。</w:t>
      </w:r>
    </w:p>
    <w:p w14:paraId="779DC181">
      <w:pPr>
        <w:numPr>
          <w:ilvl w:val="1"/>
          <w:numId w:val="2"/>
        </w:numPr>
        <w:tabs>
          <w:tab w:val="left" w:pos="945"/>
        </w:tabs>
        <w:spacing w:line="360" w:lineRule="auto"/>
        <w:ind w:left="0" w:firstLine="480"/>
        <w:rPr>
          <w:rFonts w:ascii="宋体" w:hAnsi="宋体" w:cs="宋体"/>
          <w:bCs/>
          <w:color w:val="000000"/>
          <w:sz w:val="24"/>
          <w:szCs w:val="24"/>
        </w:rPr>
      </w:pPr>
      <w:r>
        <w:rPr>
          <w:rFonts w:hint="eastAsia" w:ascii="宋体" w:hAnsi="宋体" w:eastAsia="宋体" w:cs="宋体"/>
          <w:bCs/>
          <w:color w:val="000000"/>
          <w:sz w:val="24"/>
          <w:szCs w:val="24"/>
        </w:rPr>
        <w:t>投标人必须在满足采购文件要求的基础上进行报价，如有服务偏离请于投标偏离表中说明。</w:t>
      </w:r>
    </w:p>
    <w:p w14:paraId="7325531E">
      <w:pPr>
        <w:numPr>
          <w:ilvl w:val="1"/>
          <w:numId w:val="2"/>
        </w:numPr>
        <w:tabs>
          <w:tab w:val="left" w:pos="525"/>
          <w:tab w:val="left" w:pos="630"/>
          <w:tab w:val="left" w:pos="735"/>
          <w:tab w:val="left" w:pos="945"/>
          <w:tab w:val="clear" w:pos="780"/>
        </w:tabs>
        <w:spacing w:line="360" w:lineRule="auto"/>
        <w:ind w:left="0" w:firstLine="480"/>
        <w:rPr>
          <w:rFonts w:ascii="宋体" w:hAnsi="宋体" w:cs="宋体"/>
          <w:bCs/>
          <w:sz w:val="24"/>
          <w:szCs w:val="24"/>
        </w:rPr>
      </w:pPr>
      <w:r>
        <w:rPr>
          <w:rFonts w:hint="eastAsia" w:ascii="宋体" w:hAnsi="宋体" w:eastAsia="宋体" w:cs="宋体"/>
          <w:bCs/>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14:paraId="66043698">
      <w:pPr>
        <w:numPr>
          <w:ilvl w:val="1"/>
          <w:numId w:val="2"/>
        </w:numPr>
        <w:tabs>
          <w:tab w:val="left" w:pos="525"/>
          <w:tab w:val="left" w:pos="630"/>
          <w:tab w:val="left" w:pos="735"/>
          <w:tab w:val="left" w:pos="945"/>
          <w:tab w:val="clear" w:pos="780"/>
        </w:tabs>
        <w:spacing w:line="360" w:lineRule="auto"/>
        <w:ind w:left="0" w:firstLine="480"/>
        <w:rPr>
          <w:rFonts w:ascii="宋体" w:hAnsi="宋体" w:cs="宋体"/>
          <w:bCs/>
          <w:sz w:val="24"/>
          <w:szCs w:val="24"/>
        </w:rPr>
      </w:pPr>
      <w:r>
        <w:rPr>
          <w:rFonts w:hint="eastAsia" w:ascii="宋体" w:hAnsi="宋体" w:eastAsia="宋体" w:cs="宋体"/>
          <w:bCs/>
          <w:sz w:val="24"/>
        </w:rPr>
        <w:t>依据《政府采购促进中小企业发展管理办法》规定享受扶持政策获得政府采购合同的，小微企业不得将合同分包给大中型企业，中型企业不得将合同分包给大型企业。</w:t>
      </w:r>
    </w:p>
    <w:p w14:paraId="298390DB">
      <w:pPr>
        <w:numPr>
          <w:ilvl w:val="1"/>
          <w:numId w:val="2"/>
        </w:numPr>
        <w:tabs>
          <w:tab w:val="left" w:pos="525"/>
          <w:tab w:val="left" w:pos="630"/>
          <w:tab w:val="left" w:pos="735"/>
          <w:tab w:val="left" w:pos="945"/>
          <w:tab w:val="clear" w:pos="780"/>
        </w:tabs>
        <w:spacing w:line="360" w:lineRule="auto"/>
        <w:ind w:left="0" w:firstLine="480"/>
        <w:rPr>
          <w:rFonts w:ascii="宋体" w:hAnsi="宋体" w:cs="宋体"/>
          <w:bCs/>
          <w:sz w:val="24"/>
        </w:rPr>
      </w:pPr>
      <w:r>
        <w:rPr>
          <w:rFonts w:hint="eastAsia" w:ascii="宋体" w:hAnsi="宋体" w:eastAsia="宋体" w:cs="宋体"/>
          <w:bCs/>
          <w:sz w:val="24"/>
        </w:rPr>
        <w:t>开标后，投标人须自行准备设备（包括但不限于笔记本电脑、无线网络）登录“苏采云”系统，按招标文件规定时间解密后，在评标过程中保持在线，等待评标委员会的询标和评标结果，中途不得离开。如未按要求应答，由此所产生的损失及风险由投标人自行承担。</w:t>
      </w:r>
    </w:p>
    <w:p w14:paraId="2058BCA9">
      <w:pPr>
        <w:tabs>
          <w:tab w:val="left" w:pos="525"/>
          <w:tab w:val="left" w:pos="630"/>
          <w:tab w:val="left" w:pos="735"/>
          <w:tab w:val="left" w:pos="945"/>
        </w:tabs>
        <w:spacing w:line="360" w:lineRule="auto"/>
        <w:ind w:firstLine="480"/>
        <w:rPr>
          <w:rFonts w:ascii="宋体" w:hAnsi="宋体" w:cs="宋体"/>
          <w:b/>
          <w:bCs/>
          <w:sz w:val="30"/>
          <w:szCs w:val="30"/>
        </w:rPr>
      </w:pPr>
      <w:r>
        <w:rPr>
          <w:rFonts w:hint="eastAsia" w:ascii="宋体" w:hAnsi="宋体" w:cs="宋体"/>
          <w:bCs/>
          <w:sz w:val="24"/>
          <w:highlight w:val="yellow"/>
        </w:rPr>
        <w:br w:type="page" w:clear="all"/>
      </w:r>
      <w:r>
        <w:rPr>
          <w:rFonts w:hint="eastAsia" w:ascii="宋体" w:hAnsi="宋体" w:eastAsia="宋体" w:cs="宋体"/>
          <w:b/>
          <w:sz w:val="30"/>
          <w:szCs w:val="30"/>
        </w:rPr>
        <w:t>第三部分  政府采购政策（包括但不限于下列具体政策要求）</w:t>
      </w:r>
    </w:p>
    <w:p w14:paraId="54010283">
      <w:pPr>
        <w:numPr>
          <w:ilvl w:val="1"/>
          <w:numId w:val="3"/>
        </w:numPr>
        <w:tabs>
          <w:tab w:val="left" w:pos="525"/>
          <w:tab w:val="left" w:pos="945"/>
          <w:tab w:val="clear" w:pos="780"/>
        </w:tabs>
        <w:spacing w:line="360" w:lineRule="auto"/>
        <w:ind w:left="0" w:firstLine="525"/>
        <w:rPr>
          <w:rFonts w:ascii="宋体" w:hAnsi="宋体" w:cs="宋体"/>
          <w:bCs/>
          <w:sz w:val="24"/>
          <w:szCs w:val="24"/>
        </w:rPr>
      </w:pPr>
      <w:r>
        <w:rPr>
          <w:rFonts w:hint="eastAsia" w:ascii="宋体" w:hAnsi="宋体" w:eastAsia="宋体" w:cs="宋体"/>
          <w:bCs/>
          <w:sz w:val="24"/>
          <w:szCs w:val="24"/>
        </w:rPr>
        <w:t>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14:paraId="0E99115C">
      <w:pPr>
        <w:numPr>
          <w:ilvl w:val="1"/>
          <w:numId w:val="3"/>
        </w:numPr>
        <w:tabs>
          <w:tab w:val="left" w:pos="525"/>
          <w:tab w:val="left" w:pos="945"/>
          <w:tab w:val="clear" w:pos="780"/>
        </w:tabs>
        <w:spacing w:line="360" w:lineRule="auto"/>
        <w:ind w:left="0" w:firstLine="525"/>
        <w:rPr>
          <w:rFonts w:ascii="宋体" w:hAnsi="宋体" w:cs="宋体"/>
          <w:bCs/>
          <w:sz w:val="24"/>
          <w:szCs w:val="24"/>
        </w:rPr>
      </w:pPr>
      <w:r>
        <w:rPr>
          <w:rFonts w:hint="eastAsia" w:ascii="宋体" w:hAnsi="宋体" w:eastAsia="宋体" w:cs="宋体"/>
          <w:sz w:val="24"/>
          <w:szCs w:val="24"/>
        </w:rPr>
        <w:t>本项目中如有涉及到采购数据中心相关设备、运维服务的，应当按《关于印发〈绿色数据中心政府采购需求标准（试行）〉的通知》（财办库〔2023〕7号）文件执行。招标（采购）文件中涉及数据中心相关设备、运维服务的，采购人均以《绿色数据中心政府采购需求标准（试行）》提出的指标、标准为准。在政府采购合同中，采购人应明确对相关指标的验收方式和违约责任，供应商应按合同约定提供设备或服务。</w:t>
      </w:r>
    </w:p>
    <w:p w14:paraId="350DECBC">
      <w:pPr>
        <w:numPr>
          <w:ilvl w:val="1"/>
          <w:numId w:val="3"/>
        </w:numPr>
        <w:tabs>
          <w:tab w:val="left" w:pos="525"/>
          <w:tab w:val="left" w:pos="945"/>
          <w:tab w:val="clear" w:pos="780"/>
        </w:tabs>
        <w:spacing w:line="360" w:lineRule="auto"/>
        <w:ind w:left="0" w:firstLine="525"/>
        <w:rPr>
          <w:rFonts w:ascii="宋体" w:hAnsi="宋体" w:cs="宋体"/>
          <w:sz w:val="24"/>
          <w:szCs w:val="24"/>
        </w:rPr>
      </w:pPr>
      <w:r>
        <w:rPr>
          <w:rFonts w:hint="eastAsia" w:ascii="宋体" w:hAnsi="宋体" w:eastAsia="宋体" w:cs="宋体"/>
          <w:bCs/>
          <w:sz w:val="24"/>
          <w:szCs w:val="24"/>
        </w:rPr>
        <w:t>根据国家扶持中小企业的有关政策，在我中心组织的采购项目中标的供应商，如需要政府采购合同融资，请按锡财购【2022】7号文件执行。</w:t>
      </w:r>
    </w:p>
    <w:p w14:paraId="69E145AC">
      <w:pPr>
        <w:tabs>
          <w:tab w:val="left" w:pos="525"/>
          <w:tab w:val="left" w:pos="630"/>
          <w:tab w:val="left" w:pos="735"/>
          <w:tab w:val="left" w:pos="945"/>
          <w:tab w:val="left" w:pos="1080"/>
        </w:tabs>
        <w:spacing w:line="360" w:lineRule="auto"/>
        <w:ind w:firstLine="480"/>
        <w:rPr>
          <w:rFonts w:ascii="宋体" w:hAnsi="宋体" w:cs="宋体"/>
          <w:bCs/>
          <w:sz w:val="24"/>
          <w:szCs w:val="24"/>
        </w:rPr>
      </w:pPr>
      <w:r>
        <w:rPr>
          <w:rFonts w:hint="eastAsia" w:ascii="宋体" w:hAnsi="宋体" w:eastAsia="宋体" w:cs="宋体"/>
          <w:bCs/>
          <w:sz w:val="24"/>
          <w:szCs w:val="24"/>
        </w:rPr>
        <w:t>合同融资</w:t>
      </w:r>
      <w:r>
        <w:rPr>
          <w:rFonts w:ascii="宋体" w:hAnsi="宋体" w:cs="宋体"/>
          <w:bCs/>
          <w:sz w:val="24"/>
          <w:szCs w:val="24"/>
          <w:lang w:val="en"/>
        </w:rPr>
        <w:t>,</w:t>
      </w:r>
      <w:r>
        <w:rPr>
          <w:rFonts w:hint="eastAsia" w:ascii="宋体" w:hAnsi="宋体" w:eastAsia="宋体" w:cs="宋体"/>
          <w:bCs/>
          <w:sz w:val="24"/>
          <w:szCs w:val="24"/>
        </w:rPr>
        <w:t>是指参与政府采购的供应商，凭借中标、成交通知书或政府采购合同向金融机构申请融资，金融机构以供应商信用审查和政府采购信誉为基础， 按便捷贷款程序和优惠利率，为其发放无财产抵押贷款的一种融资模式。供应商与金融机构按照“银企自愿，风险共担”的原则开展融资活动，有融资需求的中标、成交供应商可根据自身情况，在“苏采云”系统凭政府采购中标、成交通知书或政府采购合同向采购人提出此合同有融资需求，采购人在“苏采云”系统上勾选此合同融资贷款，设置供应商账号为空，中标供应商在“中征平台”提出融资申请，自主选择金融机构及其融资产品，金融机构进行融资信息审查决定是否为其提供融资，做好预授信。双方达成融资意向后签订融资协议，确定融资成交信息并约定融资回款账户。</w:t>
      </w:r>
    </w:p>
    <w:p w14:paraId="4039A0CC">
      <w:pPr>
        <w:tabs>
          <w:tab w:val="left" w:pos="525"/>
          <w:tab w:val="left" w:pos="630"/>
          <w:tab w:val="left" w:pos="735"/>
          <w:tab w:val="left" w:pos="945"/>
          <w:tab w:val="left" w:pos="1080"/>
        </w:tabs>
        <w:spacing w:line="360" w:lineRule="auto"/>
        <w:ind w:firstLine="480"/>
        <w:rPr>
          <w:rFonts w:ascii="宋体" w:hAnsi="宋体" w:cs="宋体"/>
          <w:bCs/>
          <w:sz w:val="24"/>
          <w:szCs w:val="24"/>
        </w:rPr>
      </w:pPr>
      <w:r>
        <w:rPr>
          <w:rFonts w:hint="eastAsia" w:ascii="宋体" w:hAnsi="宋体" w:eastAsia="宋体" w:cs="宋体"/>
          <w:bCs/>
          <w:sz w:val="24"/>
          <w:szCs w:val="24"/>
        </w:rPr>
        <w:t>中标、成交供应商可根据自身情况，自行决定是否选择采用合同融资形式， 在无锡政府采购网——政采贷专栏提供的银行名录内自主选择合作银行。</w:t>
      </w:r>
    </w:p>
    <w:p w14:paraId="77A5C5E2">
      <w:pPr>
        <w:numPr>
          <w:ilvl w:val="1"/>
          <w:numId w:val="3"/>
        </w:numPr>
        <w:tabs>
          <w:tab w:val="left" w:pos="525"/>
          <w:tab w:val="left" w:pos="945"/>
          <w:tab w:val="clear" w:pos="780"/>
        </w:tabs>
        <w:spacing w:line="360" w:lineRule="auto"/>
        <w:ind w:left="0" w:firstLine="525"/>
        <w:rPr>
          <w:rFonts w:ascii="宋体" w:hAnsi="宋体" w:cs="宋体"/>
          <w:sz w:val="24"/>
          <w:szCs w:val="24"/>
        </w:rPr>
      </w:pPr>
      <w:r>
        <w:rPr>
          <w:rFonts w:hint="eastAsia" w:ascii="宋体" w:hAnsi="宋体" w:eastAsia="宋体" w:cs="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14:paraId="6A8B50BC">
      <w:pPr>
        <w:tabs>
          <w:tab w:val="left" w:pos="525"/>
          <w:tab w:val="left" w:pos="630"/>
          <w:tab w:val="left" w:pos="735"/>
          <w:tab w:val="left" w:pos="945"/>
          <w:tab w:val="left" w:pos="1080"/>
        </w:tabs>
        <w:spacing w:line="360" w:lineRule="auto"/>
        <w:ind w:firstLine="480"/>
        <w:rPr>
          <w:rFonts w:ascii="宋体" w:hAnsi="宋体" w:cs="宋体"/>
          <w:bCs/>
          <w:sz w:val="24"/>
          <w:szCs w:val="24"/>
        </w:rPr>
      </w:pPr>
      <w:r>
        <w:rPr>
          <w:rFonts w:hint="eastAsia" w:ascii="宋体" w:hAnsi="宋体" w:eastAsia="宋体" w:cs="宋体"/>
          <w:bCs/>
          <w:sz w:val="24"/>
          <w:szCs w:val="24"/>
          <w:lang w:val="en"/>
        </w:rPr>
        <w:t>中标、成交供应商可以根据自身情况，自行决定是否采用电子履约保函形式，具体操作可登陆江苏政府采购网的保险保函模块进行办理。</w:t>
      </w:r>
    </w:p>
    <w:p w14:paraId="0A932CC8">
      <w:pPr>
        <w:numPr>
          <w:ilvl w:val="1"/>
          <w:numId w:val="3"/>
        </w:numPr>
        <w:tabs>
          <w:tab w:val="left" w:pos="525"/>
          <w:tab w:val="left" w:pos="945"/>
          <w:tab w:val="clear" w:pos="780"/>
        </w:tabs>
        <w:spacing w:line="360" w:lineRule="auto"/>
        <w:ind w:left="0" w:firstLine="480"/>
        <w:rPr>
          <w:rFonts w:ascii="宋体" w:hAnsi="宋体" w:cs="宋体"/>
          <w:bCs/>
          <w:sz w:val="24"/>
          <w:szCs w:val="24"/>
        </w:rPr>
      </w:pPr>
      <w:r>
        <w:rPr>
          <w:rFonts w:hint="eastAsia" w:ascii="宋体" w:hAnsi="宋体" w:eastAsia="宋体" w:cs="宋体"/>
          <w:sz w:val="24"/>
          <w:szCs w:val="24"/>
        </w:rPr>
        <w:t>本项目中如有涉及到数据库、操作系统、通用服务器、工作站、一体式计算机、便携式计算机、台式计算机等七种软硬件的，投标人不得违反财政部、工信部共同发布数据库、操作系统、通用服务器、工作站、一体式计算机、便携式计算机、台式计算机等七种软硬件的需求标准。《需求标准》详见财库〔2023〕29号、30号、31号、32号、33号、34号、35号。在满足《需求标准》的前提下，如招标文件中有其他要求的，投标人应满足招标文件要求。</w:t>
      </w:r>
      <w:r>
        <w:rPr>
          <w:rFonts w:hint="eastAsia" w:ascii="宋体" w:hAnsi="宋体" w:eastAsia="宋体" w:cs="宋体"/>
          <w:bCs/>
          <w:sz w:val="24"/>
          <w:szCs w:val="24"/>
        </w:rPr>
        <w:t>采购人可在合同中约定，</w:t>
      </w:r>
      <w:r>
        <w:rPr>
          <w:rFonts w:hint="eastAsia" w:ascii="宋体" w:hAnsi="宋体" w:eastAsia="宋体" w:cs="宋体"/>
          <w:sz w:val="24"/>
          <w:szCs w:val="24"/>
        </w:rPr>
        <w:t>在</w:t>
      </w:r>
      <w:r>
        <w:rPr>
          <w:rFonts w:hint="eastAsia" w:ascii="宋体" w:hAnsi="宋体" w:eastAsia="宋体" w:cs="宋体"/>
          <w:bCs/>
          <w:sz w:val="24"/>
          <w:szCs w:val="24"/>
        </w:rPr>
        <w:t>履约验收管理时，可对所提供的七种软硬件进行验收，必要时可以委托依法取得检测、认证资质的机构进行检测、认证。</w:t>
      </w:r>
    </w:p>
    <w:p w14:paraId="61812F39">
      <w:pPr>
        <w:numPr>
          <w:ilvl w:val="1"/>
          <w:numId w:val="3"/>
        </w:numPr>
        <w:tabs>
          <w:tab w:val="left" w:pos="525"/>
          <w:tab w:val="left" w:pos="945"/>
          <w:tab w:val="clear" w:pos="780"/>
        </w:tabs>
        <w:spacing w:line="360" w:lineRule="auto"/>
        <w:ind w:left="0" w:firstLine="480"/>
        <w:rPr>
          <w:rFonts w:ascii="宋体" w:hAnsi="宋体" w:cs="宋体"/>
          <w:bCs/>
          <w:sz w:val="24"/>
          <w:szCs w:val="24"/>
        </w:rPr>
      </w:pPr>
      <w:r>
        <w:rPr>
          <w:rFonts w:hint="eastAsia" w:ascii="宋体" w:hAnsi="宋体" w:eastAsia="宋体" w:cs="宋体"/>
          <w:bCs/>
          <w:sz w:val="24"/>
          <w:szCs w:val="24"/>
        </w:rPr>
        <w:t>根据苏财办购〔2024〕1号相关要求，采购人应当严格按照政府采购法有关规定，在中标、成交通知书发出之日起30日内，按照采购文件确定的事项与中标、成交供应商签订政府采购合同。采购人因不可抗力原因迟延签订合同的，应当自不可抗力事由消除之日起7日内完成合同签订事宜。</w:t>
      </w:r>
    </w:p>
    <w:p w14:paraId="6A8A65F4">
      <w:pPr>
        <w:tabs>
          <w:tab w:val="left" w:pos="525"/>
          <w:tab w:val="left" w:pos="630"/>
          <w:tab w:val="left" w:pos="735"/>
          <w:tab w:val="left" w:pos="945"/>
          <w:tab w:val="left" w:pos="1080"/>
        </w:tabs>
        <w:spacing w:line="360" w:lineRule="auto"/>
        <w:ind w:firstLine="480"/>
        <w:rPr>
          <w:rFonts w:ascii="宋体" w:hAnsi="宋体" w:cs="宋体"/>
          <w:bCs/>
          <w:sz w:val="24"/>
          <w:szCs w:val="24"/>
        </w:rPr>
      </w:pPr>
      <w:r>
        <w:rPr>
          <w:rFonts w:hint="eastAsia" w:ascii="宋体" w:hAnsi="宋体" w:eastAsia="宋体" w:cs="宋体"/>
          <w:bCs/>
          <w:sz w:val="24"/>
          <w:szCs w:val="24"/>
          <w:lang w:val="en"/>
        </w:rPr>
        <w:t>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p w14:paraId="3E3EEF4B"/>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5B654F3"/>
    <w:multiLevelType w:val="multilevel"/>
    <w:tmpl w:val="25B654F3"/>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CEF3DEF"/>
    <w:multiLevelType w:val="multilevel"/>
    <w:tmpl w:val="7CEF3DE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3671F"/>
    <w:rsid w:val="001061D2"/>
    <w:rsid w:val="0011645E"/>
    <w:rsid w:val="00194C8C"/>
    <w:rsid w:val="0020641D"/>
    <w:rsid w:val="00282402"/>
    <w:rsid w:val="002B0318"/>
    <w:rsid w:val="004263DB"/>
    <w:rsid w:val="004A445C"/>
    <w:rsid w:val="004B2F3E"/>
    <w:rsid w:val="005C0914"/>
    <w:rsid w:val="00601F14"/>
    <w:rsid w:val="00676D17"/>
    <w:rsid w:val="00761400"/>
    <w:rsid w:val="007A74AB"/>
    <w:rsid w:val="007B1B47"/>
    <w:rsid w:val="007D5E8C"/>
    <w:rsid w:val="007F3783"/>
    <w:rsid w:val="00881B66"/>
    <w:rsid w:val="008928D8"/>
    <w:rsid w:val="008A3D1E"/>
    <w:rsid w:val="008C204C"/>
    <w:rsid w:val="00910C39"/>
    <w:rsid w:val="00965824"/>
    <w:rsid w:val="00A25758"/>
    <w:rsid w:val="00A66B9B"/>
    <w:rsid w:val="00AF0E4D"/>
    <w:rsid w:val="00B16A71"/>
    <w:rsid w:val="00BD62E1"/>
    <w:rsid w:val="00C11E79"/>
    <w:rsid w:val="00D10DDF"/>
    <w:rsid w:val="00D269FA"/>
    <w:rsid w:val="00D71C01"/>
    <w:rsid w:val="00DE012D"/>
    <w:rsid w:val="00E0135D"/>
    <w:rsid w:val="00E85B21"/>
    <w:rsid w:val="00F25CDE"/>
    <w:rsid w:val="0353671F"/>
    <w:rsid w:val="068537AB"/>
    <w:rsid w:val="0E37392C"/>
    <w:rsid w:val="27E92D13"/>
    <w:rsid w:val="2EF16493"/>
    <w:rsid w:val="4395391D"/>
    <w:rsid w:val="55842E0A"/>
    <w:rsid w:val="68E7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3"/>
    <w:next w:val="1"/>
    <w:link w:val="13"/>
    <w:qFormat/>
    <w:uiPriority w:val="0"/>
    <w:pPr>
      <w:tabs>
        <w:tab w:val="left" w:pos="2770"/>
      </w:tabs>
      <w:snapToGrid w:val="0"/>
      <w:spacing w:line="360" w:lineRule="auto"/>
      <w:outlineLvl w:val="2"/>
    </w:pPr>
    <w:rPr>
      <w:rFonts w:ascii="仿宋_GB2312" w:hAnsi="仿宋_GB2312" w:eastAsia="仿宋_GB2312" w:cs="仿宋_GB2312"/>
      <w:bCs/>
      <w:kern w:val="2"/>
      <w:sz w:val="28"/>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99"/>
    <w:pPr>
      <w:ind w:firstLine="420"/>
    </w:pPr>
    <w:rPr>
      <w:rFonts w:ascii="Times New Roman" w:hAnsi="Times New Roman" w:eastAsia="宋体" w:cs="Times New Roman"/>
      <w:szCs w:val="20"/>
    </w:rPr>
  </w:style>
  <w:style w:type="character" w:customStyle="1" w:styleId="10">
    <w:name w:val="页眉 Char"/>
    <w:basedOn w:val="8"/>
    <w:link w:val="6"/>
    <w:qFormat/>
    <w:uiPriority w:val="0"/>
    <w:rPr>
      <w:sz w:val="18"/>
      <w:szCs w:val="18"/>
    </w:rPr>
  </w:style>
  <w:style w:type="character" w:customStyle="1" w:styleId="11">
    <w:name w:val="页脚 Char"/>
    <w:basedOn w:val="8"/>
    <w:link w:val="5"/>
    <w:qFormat/>
    <w:uiPriority w:val="0"/>
    <w:rPr>
      <w:sz w:val="18"/>
      <w:szCs w:val="18"/>
    </w:rPr>
  </w:style>
  <w:style w:type="character" w:customStyle="1" w:styleId="12">
    <w:name w:val="批注框文本 Char"/>
    <w:basedOn w:val="8"/>
    <w:link w:val="4"/>
    <w:qFormat/>
    <w:uiPriority w:val="0"/>
    <w:rPr>
      <w:sz w:val="18"/>
      <w:szCs w:val="18"/>
    </w:rPr>
  </w:style>
  <w:style w:type="character" w:customStyle="1" w:styleId="13">
    <w:name w:val="标题 3 Char"/>
    <w:basedOn w:val="8"/>
    <w:link w:val="2"/>
    <w:qFormat/>
    <w:uiPriority w:val="0"/>
    <w:rPr>
      <w:rFonts w:ascii="仿宋_GB2312" w:hAnsi="仿宋_GB2312" w:eastAsia="仿宋_GB2312" w:cs="仿宋_GB2312"/>
      <w:bCs/>
      <w:kern w:val="2"/>
      <w:sz w:val="28"/>
      <w:szCs w:val="32"/>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7062</Words>
  <Characters>7425</Characters>
  <Lines>55</Lines>
  <Paragraphs>15</Paragraphs>
  <TotalTime>25</TotalTime>
  <ScaleCrop>false</ScaleCrop>
  <LinksUpToDate>false</LinksUpToDate>
  <CharactersWithSpaces>7453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2025-05-12T05:11:00Z</dcterms:created>
  <dc:creator>WPS_1644714522</dc:creator>
  <cp:lastModifiedBy>HG</cp:lastModifiedBy>
  <dcterms:modified xsi:type="dcterms:W3CDTF">2025-07-01T03:27:44Z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433D0CE40E5944148CB8C4CA3BF35E27_11</vt:lpwstr>
  </property>
  <property fmtid="{D5CDD505-2E9C-101B-9397-08002B2CF9AE}" pid="4" name="KSOTemplateDocerSaveRecord">
    <vt:lpwstr>eyJoZGlkIjoiOTE3MzU4YTUwOWVhNDFhY2IxZWQ3MmRlOWU0YjM3NzUiLCJ1c2VySWQiOiIyNDA4MzU3ODUifQ==</vt:lpwstr>
  </property>
</Properties>
</file>